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744" w:rsidRPr="00532684" w:rsidRDefault="00223744" w:rsidP="00223744">
      <w:pPr>
        <w:pStyle w:val="a7"/>
      </w:pPr>
      <w:bookmarkStart w:id="0" w:name="OLE_LINK1"/>
      <w:bookmarkStart w:id="1" w:name="_Ref399006623"/>
      <w:bookmarkStart w:id="2" w:name="_Toc92513360"/>
      <w:r w:rsidRPr="0004538C">
        <w:t xml:space="preserve">3GPP TSG-RAN WG4 Meeting </w:t>
      </w:r>
      <w:r w:rsidRPr="00FA639F">
        <w:t>#</w:t>
      </w:r>
      <w:r>
        <w:t>10</w:t>
      </w:r>
      <w:r w:rsidR="00712C4E" w:rsidRPr="00712C4E">
        <w:rPr>
          <w:rFonts w:hint="eastAsia"/>
        </w:rPr>
        <w:t>1</w:t>
      </w:r>
      <w:r w:rsidRPr="00322696">
        <w:t>-e</w:t>
      </w:r>
      <w:r w:rsidRPr="007D655A">
        <w:t xml:space="preserve">  </w:t>
      </w:r>
      <w:r w:rsidRPr="007D655A">
        <w:rPr>
          <w:rFonts w:hint="eastAsia"/>
        </w:rPr>
        <w:t xml:space="preserve">  </w:t>
      </w:r>
      <w:r w:rsidR="001C1037">
        <w:rPr>
          <w:rFonts w:hint="eastAsia"/>
        </w:rPr>
        <w:t xml:space="preserve">                        </w:t>
      </w:r>
      <w:r w:rsidRPr="00712C4E">
        <w:rPr>
          <w:rFonts w:hint="eastAsia"/>
        </w:rPr>
        <w:t xml:space="preserve">      </w:t>
      </w:r>
      <w:r w:rsidRPr="00712C4E">
        <w:t xml:space="preserve">  </w:t>
      </w:r>
      <w:r w:rsidR="00B77E70" w:rsidRPr="00B77E70">
        <w:t>R4-2117819</w:t>
      </w:r>
    </w:p>
    <w:bookmarkEnd w:id="0"/>
    <w:p w:rsidR="00A455C0" w:rsidRDefault="00E80A20" w:rsidP="00A455C0">
      <w:pPr>
        <w:pStyle w:val="a7"/>
        <w:rPr>
          <w:rFonts w:eastAsia="宋体"/>
          <w:lang w:eastAsia="zh-CN"/>
        </w:rPr>
      </w:pPr>
      <w:r w:rsidRPr="00E80A20">
        <w:rPr>
          <w:rFonts w:eastAsia="宋体"/>
          <w:lang w:eastAsia="zh-CN"/>
        </w:rPr>
        <w:t>Electronic Meeting, 1st-12th November, 2021</w:t>
      </w:r>
    </w:p>
    <w:p w:rsidR="00E80A20" w:rsidRPr="00E80A20" w:rsidRDefault="00E80A20" w:rsidP="00A455C0">
      <w:pPr>
        <w:pStyle w:val="a7"/>
        <w:rPr>
          <w:rFonts w:eastAsia="宋体"/>
          <w:lang w:eastAsia="zh-CN"/>
        </w:rPr>
      </w:pPr>
    </w:p>
    <w:p w:rsidR="00A455C0" w:rsidRPr="00F26092" w:rsidRDefault="00A455C0" w:rsidP="00A455C0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:rsidR="00A455C0" w:rsidRPr="003044DD" w:rsidRDefault="00A455C0" w:rsidP="00A455C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Discussion </w:t>
      </w:r>
      <w:r>
        <w:rPr>
          <w:rFonts w:ascii="Arial" w:hAnsi="Arial" w:cs="Arial" w:hint="eastAsia"/>
          <w:sz w:val="22"/>
        </w:rPr>
        <w:t>o</w:t>
      </w:r>
      <w:r>
        <w:rPr>
          <w:rFonts w:ascii="Arial" w:hAnsi="Arial" w:cs="Arial"/>
          <w:sz w:val="22"/>
        </w:rPr>
        <w:t>n</w:t>
      </w:r>
      <w:r w:rsidR="003F51CC">
        <w:rPr>
          <w:rFonts w:ascii="Arial" w:hAnsi="Arial" w:cs="Arial"/>
          <w:sz w:val="22"/>
        </w:rPr>
        <w:t xml:space="preserve"> </w:t>
      </w:r>
      <w:r w:rsidR="00D461C4">
        <w:rPr>
          <w:rFonts w:ascii="Arial" w:hAnsi="Arial" w:cs="Arial"/>
          <w:sz w:val="22"/>
        </w:rPr>
        <w:t xml:space="preserve">RRM requirements for </w:t>
      </w:r>
      <w:r w:rsidR="003F51CC">
        <w:rPr>
          <w:rFonts w:ascii="Arial" w:hAnsi="Arial" w:cs="Arial"/>
          <w:sz w:val="22"/>
        </w:rPr>
        <w:t>extended DRX enhancements for RedCap</w:t>
      </w:r>
    </w:p>
    <w:p w:rsidR="00A455C0" w:rsidRPr="0022403E" w:rsidRDefault="00A455C0" w:rsidP="00A455C0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F52E64" w:rsidRPr="00F52E64">
        <w:rPr>
          <w:rFonts w:ascii="Arial" w:hAnsi="Arial" w:cs="Arial"/>
          <w:sz w:val="22"/>
        </w:rPr>
        <w:t>8.20.3.2</w:t>
      </w:r>
      <w:r w:rsidRPr="00A455C0">
        <w:rPr>
          <w:rFonts w:ascii="Arial" w:hAnsi="Arial" w:cs="Arial"/>
          <w:sz w:val="22"/>
        </w:rPr>
        <w:tab/>
      </w:r>
    </w:p>
    <w:p w:rsidR="00A455C0" w:rsidRPr="00A62DA7" w:rsidRDefault="00A455C0" w:rsidP="00A455C0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</w:p>
    <w:bookmarkEnd w:id="1"/>
    <w:bookmarkEnd w:id="2"/>
    <w:p w:rsidR="00A455C0" w:rsidRPr="00F55284" w:rsidRDefault="00A455C0" w:rsidP="00A455C0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:rsidR="006D6281" w:rsidRDefault="00602D77" w:rsidP="006D628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last RAN4 meeting, initial discussion on</w:t>
      </w:r>
      <w:r w:rsidRPr="00602D7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755469">
        <w:rPr>
          <w:rFonts w:ascii="Times New Roman" w:eastAsia="宋体" w:hAnsi="Times New Roman" w:cs="Times New Roman"/>
          <w:kern w:val="0"/>
          <w:sz w:val="20"/>
          <w:szCs w:val="20"/>
        </w:rPr>
        <w:t>the eDRX for IDLE/INACTIVE state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was conducted and a</w:t>
      </w:r>
      <w:r w:rsidR="006D6281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way forward </w:t>
      </w:r>
      <w:r w:rsidR="00B82A8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was approved </w:t>
      </w:r>
      <w:r w:rsidR="00B82A81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[1]</w:t>
      </w:r>
      <w:r w:rsidR="006D6281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6D628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18492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this contribution, we </w:t>
      </w:r>
      <w:r w:rsidR="00184927">
        <w:rPr>
          <w:rFonts w:ascii="Times New Roman" w:eastAsia="宋体" w:hAnsi="Times New Roman" w:cs="Times New Roman"/>
          <w:kern w:val="0"/>
          <w:sz w:val="20"/>
          <w:szCs w:val="20"/>
        </w:rPr>
        <w:t>provide our further discussion on</w:t>
      </w:r>
      <w:r w:rsidR="0018492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</w:t>
      </w:r>
      <w:r w:rsidR="00184927" w:rsidRPr="0018492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RRM requirements for extended DRX enhancements for RedCap</w:t>
      </w:r>
      <w:r w:rsidR="0018492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:rsidR="00022578" w:rsidRDefault="009142B6" w:rsidP="00460ABF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</w:t>
      </w:r>
      <w:r w:rsidR="0002257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eDRX configuration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has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been discussed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RAN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</w:t>
      </w:r>
      <w:r w:rsidR="0002257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several meetings </w:t>
      </w:r>
      <w:r w:rsidR="00460A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and an LS has been sent to RAN4</w:t>
      </w:r>
      <w:r w:rsidR="00E5554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[2]</w:t>
      </w:r>
      <w:r w:rsidR="00460A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. The related agreements and working assumption are captures </w:t>
      </w:r>
      <w:r w:rsidR="0002257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as follow.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60ABF" w:rsidTr="00460ABF">
        <w:tc>
          <w:tcPr>
            <w:tcW w:w="9628" w:type="dxa"/>
          </w:tcPr>
          <w:p w:rsidR="001C08FB" w:rsidRDefault="001C08FB" w:rsidP="001C08FB">
            <w:pPr>
              <w:spacing w:after="1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Agreements:</w:t>
            </w:r>
          </w:p>
          <w:p w:rsidR="001C08FB" w:rsidRDefault="001C08FB" w:rsidP="001C08FB">
            <w:pPr>
              <w:widowControl/>
              <w:numPr>
                <w:ilvl w:val="0"/>
                <w:numId w:val="35"/>
              </w:numPr>
              <w:autoSpaceDN w:val="0"/>
              <w:spacing w:after="180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>eDRX feature is optional for any UE (including RedCap and non-RedCap UEs).</w:t>
            </w:r>
          </w:p>
          <w:p w:rsidR="001C08FB" w:rsidRDefault="001C08FB" w:rsidP="001C08FB">
            <w:pPr>
              <w:widowControl/>
              <w:numPr>
                <w:ilvl w:val="0"/>
                <w:numId w:val="35"/>
              </w:numPr>
              <w:autoSpaceDN w:val="0"/>
              <w:spacing w:after="180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>RAN2 considers the configuration as an invalid case, where INACTIVE eDRX cycle is configured but IDLE eDRX cycle is not configured. FFS whether to capture this restriction in RAN2 spec.</w:t>
            </w:r>
          </w:p>
          <w:p w:rsidR="001C08FB" w:rsidRDefault="001C08FB" w:rsidP="001C08FB">
            <w:pPr>
              <w:widowControl/>
              <w:numPr>
                <w:ilvl w:val="0"/>
                <w:numId w:val="35"/>
              </w:numPr>
              <w:autoSpaceDN w:val="0"/>
              <w:spacing w:after="180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>RAN2 considers the configuration as invalid case, where INACTIVE eDRX cycle is longer than IDLE eDRX cycle. FFS whether to capture this restriction in RAN2 spec.</w:t>
            </w:r>
          </w:p>
          <w:p w:rsidR="001C08FB" w:rsidRDefault="001C08FB" w:rsidP="001C08FB">
            <w:pPr>
              <w:widowControl/>
              <w:numPr>
                <w:ilvl w:val="0"/>
                <w:numId w:val="35"/>
              </w:numPr>
              <w:autoSpaceDN w:val="0"/>
              <w:spacing w:after="180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>The maximum PTW length is 40.96s when IDLE eDRX cycle is longer than 10.24s.</w:t>
            </w:r>
          </w:p>
          <w:p w:rsidR="001C08FB" w:rsidRDefault="001C08FB" w:rsidP="001C08FB">
            <w:pPr>
              <w:widowControl/>
              <w:numPr>
                <w:ilvl w:val="0"/>
                <w:numId w:val="35"/>
              </w:numPr>
              <w:autoSpaceDN w:val="0"/>
              <w:spacing w:after="180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>The minimum PTW length is 1.28s and the step length/granularity of PTW length is 1.28 when IDLE eDRX cycle is longer than 10.24s.</w:t>
            </w:r>
          </w:p>
          <w:p w:rsidR="001C08FB" w:rsidRDefault="001C08FB" w:rsidP="001C08FB">
            <w:pPr>
              <w:widowControl/>
              <w:numPr>
                <w:ilvl w:val="0"/>
                <w:numId w:val="35"/>
              </w:numPr>
              <w:autoSpaceDN w:val="0"/>
              <w:spacing w:after="180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 xml:space="preserve">When IDLE eDRX cycle is longer than 10.24s, PH calculation formula defined in LTE is re-used, i.e. </w:t>
            </w:r>
          </w:p>
          <w:p w:rsidR="001C08FB" w:rsidRDefault="001C08FB" w:rsidP="001C08FB">
            <w:pPr>
              <w:spacing w:after="180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ab/>
            </w:r>
            <w:r>
              <w:rPr>
                <w:rFonts w:ascii="Arial" w:hAnsi="Arial" w:cs="Arial"/>
                <w:bCs/>
                <w:sz w:val="20"/>
                <w:lang w:val="en-GB"/>
              </w:rPr>
              <w:tab/>
              <w:t>PH_CN:  H-SFN mod TeDRX,_CN,H= (UE_ID_H mod TeDRX_CN,H)</w:t>
            </w:r>
          </w:p>
          <w:p w:rsidR="001C08FB" w:rsidRDefault="001C08FB" w:rsidP="001C08FB">
            <w:pPr>
              <w:spacing w:after="180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ab/>
            </w:r>
            <w:r>
              <w:rPr>
                <w:rFonts w:ascii="Arial" w:hAnsi="Arial" w:cs="Arial"/>
                <w:bCs/>
                <w:sz w:val="20"/>
                <w:lang w:val="en-GB"/>
              </w:rPr>
              <w:tab/>
            </w:r>
            <w:r>
              <w:rPr>
                <w:rFonts w:ascii="Arial" w:hAnsi="Arial" w:cs="Arial"/>
                <w:bCs/>
                <w:sz w:val="20"/>
                <w:lang w:val="en-GB"/>
              </w:rPr>
              <w:tab/>
              <w:t>-  where TeDRX_CN,H is equal to IDLE eDRX cycle.</w:t>
            </w:r>
          </w:p>
          <w:p w:rsidR="001C08FB" w:rsidRDefault="001C08FB" w:rsidP="001C08FB">
            <w:pPr>
              <w:widowControl/>
              <w:numPr>
                <w:ilvl w:val="0"/>
                <w:numId w:val="35"/>
              </w:numPr>
              <w:autoSpaceDN w:val="0"/>
              <w:spacing w:after="180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 xml:space="preserve">When IDLE eDRX cycle is longer than 10.24s, CN PTW_end calculation formula defined in LTE is re-used, i.e. </w:t>
            </w:r>
          </w:p>
          <w:p w:rsidR="001C08FB" w:rsidRDefault="001C08FB" w:rsidP="001C08FB">
            <w:pPr>
              <w:spacing w:after="180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ab/>
            </w:r>
            <w:r>
              <w:rPr>
                <w:rFonts w:ascii="Arial" w:hAnsi="Arial" w:cs="Arial"/>
                <w:bCs/>
                <w:sz w:val="20"/>
                <w:lang w:val="en-GB"/>
              </w:rPr>
              <w:tab/>
              <w:t xml:space="preserve">PTW_end is radio frame satisfying SFN = (PTW_start + L*100 - 1) mod 1024, </w:t>
            </w:r>
          </w:p>
          <w:p w:rsidR="001C08FB" w:rsidRDefault="001C08FB" w:rsidP="001C08FB">
            <w:pPr>
              <w:spacing w:after="180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ab/>
            </w:r>
            <w:r>
              <w:rPr>
                <w:rFonts w:ascii="Arial" w:hAnsi="Arial" w:cs="Arial"/>
                <w:bCs/>
                <w:sz w:val="20"/>
                <w:lang w:val="en-GB"/>
              </w:rPr>
              <w:tab/>
            </w:r>
            <w:r>
              <w:rPr>
                <w:rFonts w:ascii="Arial" w:hAnsi="Arial" w:cs="Arial"/>
                <w:bCs/>
                <w:sz w:val="20"/>
                <w:lang w:val="en-GB"/>
              </w:rPr>
              <w:tab/>
              <w:t>- where L is PTW length configured by upper layers.</w:t>
            </w:r>
          </w:p>
          <w:p w:rsidR="001C08FB" w:rsidRDefault="001C08FB" w:rsidP="001C08FB">
            <w:pPr>
              <w:spacing w:after="180"/>
              <w:rPr>
                <w:rFonts w:ascii="Arial" w:hAnsi="Arial" w:cs="Arial"/>
                <w:b/>
                <w:sz w:val="20"/>
              </w:rPr>
            </w:pPr>
          </w:p>
          <w:p w:rsidR="001C08FB" w:rsidRDefault="001C08FB" w:rsidP="001C08FB">
            <w:pPr>
              <w:spacing w:after="1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Working assumption:</w:t>
            </w:r>
          </w:p>
          <w:p w:rsidR="001C08FB" w:rsidRDefault="001C08FB" w:rsidP="001C08FB">
            <w:pPr>
              <w:widowControl/>
              <w:numPr>
                <w:ilvl w:val="0"/>
                <w:numId w:val="35"/>
              </w:numPr>
              <w:autoSpaceDN w:val="0"/>
              <w:spacing w:after="18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When IDLE eDRX cycle is longer than 10.24s, CN PTW_start calculation formula defined in LTE is re-used as the baseline, as below. FFS whether CN PTW_start position could be configurable by network. Note: this formula would be revisited if INACTIVE eDRX cycle can be above 10.24s</w:t>
            </w:r>
          </w:p>
          <w:tbl>
            <w:tblPr>
              <w:tblW w:w="8957" w:type="dxa"/>
              <w:tblInd w:w="421" w:type="dxa"/>
              <w:tblLook w:val="04A0" w:firstRow="1" w:lastRow="0" w:firstColumn="1" w:lastColumn="0" w:noHBand="0" w:noVBand="1"/>
            </w:tblPr>
            <w:tblGrid>
              <w:gridCol w:w="8957"/>
            </w:tblGrid>
            <w:tr w:rsidR="001C08FB" w:rsidTr="005B34BB">
              <w:tc>
                <w:tcPr>
                  <w:tcW w:w="8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C08FB" w:rsidRDefault="001C08FB" w:rsidP="001C08FB">
                  <w:pPr>
                    <w:spacing w:after="180"/>
                    <w:rPr>
                      <w:rFonts w:ascii="Arial" w:hAnsi="Arial" w:cs="Arial"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</w:rPr>
                    <w:t>PTW_start denotes the first radio frame of the PH that is part of the PTW and has SFN satisfying the following equation:</w:t>
                  </w:r>
                </w:p>
                <w:p w:rsidR="001C08FB" w:rsidRDefault="001C08FB" w:rsidP="001C08FB">
                  <w:pPr>
                    <w:spacing w:after="180"/>
                    <w:rPr>
                      <w:rFonts w:ascii="Arial" w:hAnsi="Arial" w:cs="Arial"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</w:rPr>
                    <w:t>SFN = 1024/N* i</w:t>
                  </w:r>
                  <w:r>
                    <w:rPr>
                      <w:rFonts w:ascii="Arial" w:hAnsi="Arial" w:cs="Arial"/>
                      <w:bCs/>
                      <w:sz w:val="20"/>
                      <w:vertAlign w:val="subscript"/>
                    </w:rPr>
                    <w:t>eDRX</w:t>
                  </w:r>
                  <w:r>
                    <w:rPr>
                      <w:rFonts w:ascii="Arial" w:hAnsi="Arial" w:cs="Arial"/>
                      <w:bCs/>
                      <w:sz w:val="20"/>
                    </w:rPr>
                    <w:t>, where</w:t>
                  </w:r>
                </w:p>
                <w:p w:rsidR="001C08FB" w:rsidRDefault="001C08FB" w:rsidP="001C08FB">
                  <w:pPr>
                    <w:widowControl/>
                    <w:numPr>
                      <w:ilvl w:val="0"/>
                      <w:numId w:val="36"/>
                    </w:numPr>
                    <w:autoSpaceDN w:val="0"/>
                    <w:spacing w:after="180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</w:rPr>
                    <w:t>i</w:t>
                  </w:r>
                  <w:r>
                    <w:rPr>
                      <w:rFonts w:ascii="Arial" w:hAnsi="Arial" w:cs="Arial"/>
                      <w:bCs/>
                      <w:sz w:val="20"/>
                      <w:vertAlign w:val="subscript"/>
                    </w:rPr>
                    <w:t>eDRX</w:t>
                  </w:r>
                  <w:r>
                    <w:rPr>
                      <w:rFonts w:ascii="Arial" w:hAnsi="Arial" w:cs="Arial"/>
                      <w:bCs/>
                      <w:sz w:val="20"/>
                    </w:rPr>
                    <w:t xml:space="preserve"> = floor(UE_ID_H /T</w:t>
                  </w:r>
                  <w:r>
                    <w:rPr>
                      <w:rFonts w:ascii="Arial" w:hAnsi="Arial" w:cs="Arial"/>
                      <w:bCs/>
                      <w:sz w:val="20"/>
                      <w:vertAlign w:val="subscript"/>
                    </w:rPr>
                    <w:t>eDRX,H</w:t>
                  </w:r>
                  <w:r>
                    <w:rPr>
                      <w:rFonts w:ascii="Arial" w:hAnsi="Arial" w:cs="Arial"/>
                      <w:bCs/>
                      <w:sz w:val="20"/>
                    </w:rPr>
                    <w:t>) mod N</w:t>
                  </w:r>
                </w:p>
                <w:p w:rsidR="001C08FB" w:rsidRDefault="001C08FB" w:rsidP="001C08FB">
                  <w:pPr>
                    <w:widowControl/>
                    <w:numPr>
                      <w:ilvl w:val="0"/>
                      <w:numId w:val="36"/>
                    </w:numPr>
                    <w:autoSpaceDN w:val="0"/>
                    <w:spacing w:after="180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</w:rPr>
                    <w:lastRenderedPageBreak/>
                    <w:t>FFS N = 4 or 8, FFS if N can take other values</w:t>
                  </w:r>
                </w:p>
              </w:tc>
            </w:tr>
          </w:tbl>
          <w:p w:rsidR="00460ABF" w:rsidRPr="001C08FB" w:rsidRDefault="00460ABF" w:rsidP="00460ABF">
            <w:pPr>
              <w:spacing w:after="24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B2F2C" w:rsidRPr="00AF2340" w:rsidRDefault="0048077D" w:rsidP="00AF2340">
      <w:pPr>
        <w:pStyle w:val="2"/>
        <w:spacing w:after="0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48077D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lastRenderedPageBreak/>
        <w:t>General aspects</w:t>
      </w:r>
    </w:p>
    <w:p w:rsidR="0048077D" w:rsidRPr="00EB2F2C" w:rsidRDefault="00AB5FB1" w:rsidP="00EB2F2C">
      <w:pPr>
        <w:pStyle w:val="a9"/>
        <w:numPr>
          <w:ilvl w:val="0"/>
          <w:numId w:val="37"/>
        </w:numPr>
        <w:spacing w:after="240"/>
        <w:ind w:firstLineChars="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EB2F2C">
        <w:rPr>
          <w:rFonts w:ascii="Times New Roman" w:hAnsi="Times New Roman" w:cs="Times New Roman" w:hint="eastAsia"/>
          <w:b/>
          <w:sz w:val="20"/>
          <w:szCs w:val="20"/>
          <w:lang w:val="en-GB"/>
        </w:rPr>
        <w:t>eDRX</w:t>
      </w:r>
      <w:r w:rsidRPr="00EB2F2C">
        <w:rPr>
          <w:rFonts w:ascii="Times New Roman" w:hAnsi="Times New Roman" w:cs="Times New Roman"/>
          <w:b/>
          <w:sz w:val="20"/>
          <w:szCs w:val="20"/>
          <w:lang w:val="en-GB"/>
        </w:rPr>
        <w:t xml:space="preserve"> requirements for FR1 and FR2</w:t>
      </w:r>
    </w:p>
    <w:p w:rsidR="00AB5FB1" w:rsidRDefault="00AB5FB1" w:rsidP="0048077D">
      <w:pPr>
        <w:spacing w:after="24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I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n last meeting,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company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pointed out the issue that </w:t>
      </w:r>
      <w:r w:rsidRPr="00AB5FB1">
        <w:rPr>
          <w:rFonts w:ascii="Times New Roman" w:hAnsi="Times New Roman" w:cs="Times New Roman"/>
          <w:sz w:val="20"/>
          <w:szCs w:val="20"/>
          <w:lang w:val="en-GB"/>
        </w:rPr>
        <w:t xml:space="preserve">the eDRX requirement for Nserv for FR2 </w:t>
      </w:r>
      <w:r>
        <w:rPr>
          <w:rFonts w:ascii="Times New Roman" w:hAnsi="Times New Roman" w:cs="Times New Roman"/>
          <w:sz w:val="20"/>
          <w:szCs w:val="20"/>
          <w:lang w:val="en-GB"/>
        </w:rPr>
        <w:t>involves</w:t>
      </w:r>
      <w:r w:rsidR="00627AC9">
        <w:rPr>
          <w:rFonts w:ascii="Times New Roman" w:hAnsi="Times New Roman" w:cs="Times New Roman"/>
          <w:sz w:val="20"/>
          <w:szCs w:val="20"/>
          <w:lang w:val="en-GB"/>
        </w:rPr>
        <w:t xml:space="preserve"> the problems of</w:t>
      </w:r>
      <w:r w:rsidRPr="00AB5FB1">
        <w:rPr>
          <w:rFonts w:ascii="Times New Roman" w:hAnsi="Times New Roman" w:cs="Times New Roman"/>
          <w:sz w:val="20"/>
          <w:szCs w:val="20"/>
          <w:lang w:val="en-GB"/>
        </w:rPr>
        <w:t xml:space="preserve"> PTW duration extension or Nserv </w:t>
      </w:r>
      <w:r w:rsidR="00627AC9">
        <w:rPr>
          <w:rFonts w:ascii="Times New Roman" w:hAnsi="Times New Roman" w:cs="Times New Roman"/>
          <w:sz w:val="20"/>
          <w:szCs w:val="20"/>
          <w:lang w:val="en-GB"/>
        </w:rPr>
        <w:t>across</w:t>
      </w:r>
      <w:r w:rsidRPr="00AB5FB1">
        <w:rPr>
          <w:rFonts w:ascii="Times New Roman" w:hAnsi="Times New Roman" w:cs="Times New Roman"/>
          <w:sz w:val="20"/>
          <w:szCs w:val="20"/>
          <w:lang w:val="en-GB"/>
        </w:rPr>
        <w:t xml:space="preserve"> multiple PTWs.</w:t>
      </w:r>
      <w:r w:rsidR="00F83CBD">
        <w:rPr>
          <w:rFonts w:ascii="Times New Roman" w:hAnsi="Times New Roman" w:cs="Times New Roman"/>
          <w:sz w:val="20"/>
          <w:szCs w:val="20"/>
          <w:lang w:val="en-GB"/>
        </w:rPr>
        <w:t xml:space="preserve"> In our understanding, this issue could be avoided through NW configuration. As the eDRX </w:t>
      </w:r>
      <w:r w:rsidR="00F83CBD" w:rsidRPr="00F83CBD">
        <w:rPr>
          <w:rFonts w:ascii="Times New Roman" w:hAnsi="Times New Roman" w:cs="Times New Roman"/>
          <w:sz w:val="20"/>
          <w:szCs w:val="20"/>
          <w:lang w:val="en-GB"/>
        </w:rPr>
        <w:t>enhancements</w:t>
      </w:r>
      <w:r w:rsidR="00F83CBD">
        <w:rPr>
          <w:rFonts w:ascii="Times New Roman" w:hAnsi="Times New Roman" w:cs="Times New Roman"/>
          <w:sz w:val="20"/>
          <w:szCs w:val="20"/>
          <w:lang w:val="en-GB"/>
        </w:rPr>
        <w:t xml:space="preserve"> are still under discussion in RAN2, we prefer to de-prioritize the eDRX requirements</w:t>
      </w:r>
      <w:r w:rsidR="00432F4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32F4A">
        <w:rPr>
          <w:rFonts w:ascii="Times New Roman" w:hAnsi="Times New Roman" w:cs="Times New Roman" w:hint="eastAsia"/>
          <w:sz w:val="20"/>
          <w:szCs w:val="20"/>
          <w:lang w:val="en-GB"/>
        </w:rPr>
        <w:t>for</w:t>
      </w:r>
      <w:r w:rsidR="00B51AF6">
        <w:rPr>
          <w:rFonts w:ascii="Times New Roman" w:hAnsi="Times New Roman" w:cs="Times New Roman"/>
          <w:sz w:val="20"/>
          <w:szCs w:val="20"/>
          <w:lang w:val="en-GB"/>
        </w:rPr>
        <w:t xml:space="preserve"> FR2.</w:t>
      </w:r>
    </w:p>
    <w:p w:rsidR="0048077D" w:rsidRDefault="00B51AF6" w:rsidP="0048077D">
      <w:pPr>
        <w:spacing w:after="24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C5759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Pr="00C5759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 w:rsidRPr="00C5759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 w:rsidRPr="00C5759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 w:rsidR="00D203B5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val="en-GB" w:eastAsia="en-US"/>
        </w:rPr>
        <w:t>1</w:t>
      </w:r>
      <w:r w:rsidRPr="00C5759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 w:rsidRPr="00C5759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="00302876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RAN4 to </w:t>
      </w:r>
      <w:r w:rsidRPr="00C57590">
        <w:rPr>
          <w:rFonts w:ascii="Times New Roman" w:hAnsi="Times New Roman" w:cs="Times New Roman"/>
          <w:b/>
          <w:sz w:val="20"/>
          <w:szCs w:val="20"/>
          <w:lang w:val="en-GB"/>
        </w:rPr>
        <w:t xml:space="preserve">de-prioritize the eDRX requirements </w:t>
      </w:r>
      <w:r w:rsidRPr="00C57590">
        <w:rPr>
          <w:rFonts w:ascii="Times New Roman" w:hAnsi="Times New Roman" w:cs="Times New Roman" w:hint="eastAsia"/>
          <w:b/>
          <w:sz w:val="20"/>
          <w:szCs w:val="20"/>
          <w:lang w:val="en-GB"/>
        </w:rPr>
        <w:t>for</w:t>
      </w:r>
      <w:r w:rsidRPr="00C57590">
        <w:rPr>
          <w:rFonts w:ascii="Times New Roman" w:hAnsi="Times New Roman" w:cs="Times New Roman"/>
          <w:b/>
          <w:sz w:val="20"/>
          <w:szCs w:val="20"/>
          <w:lang w:val="en-GB"/>
        </w:rPr>
        <w:t xml:space="preserve"> FR2.</w:t>
      </w:r>
    </w:p>
    <w:p w:rsidR="00246A64" w:rsidRPr="00EB2F2C" w:rsidRDefault="00246A64" w:rsidP="00EB2F2C">
      <w:pPr>
        <w:pStyle w:val="a9"/>
        <w:numPr>
          <w:ilvl w:val="0"/>
          <w:numId w:val="37"/>
        </w:numPr>
        <w:spacing w:after="240"/>
        <w:ind w:firstLineChars="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EB2F2C">
        <w:rPr>
          <w:rFonts w:ascii="Times New Roman" w:hAnsi="Times New Roman" w:cs="Times New Roman" w:hint="eastAsia"/>
          <w:b/>
          <w:sz w:val="20"/>
          <w:szCs w:val="20"/>
          <w:lang w:val="en-GB"/>
        </w:rPr>
        <w:t>eDRX</w:t>
      </w:r>
      <w:r w:rsidRPr="00EB2F2C">
        <w:rPr>
          <w:rFonts w:ascii="Times New Roman" w:hAnsi="Times New Roman" w:cs="Times New Roman"/>
          <w:b/>
          <w:sz w:val="20"/>
          <w:szCs w:val="20"/>
          <w:lang w:val="en-GB"/>
        </w:rPr>
        <w:t xml:space="preserve"> cycle length</w:t>
      </w:r>
    </w:p>
    <w:p w:rsidR="00732BCC" w:rsidRDefault="00302876" w:rsidP="0048077D">
      <w:pPr>
        <w:spacing w:after="24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he agreement was reached during last meeting that RAN4 to </w:t>
      </w:r>
      <w:r w:rsidRPr="00302876">
        <w:rPr>
          <w:rFonts w:ascii="Times New Roman" w:hAnsi="Times New Roman" w:cs="Times New Roman"/>
          <w:sz w:val="20"/>
          <w:szCs w:val="20"/>
          <w:lang w:val="en-GB"/>
        </w:rPr>
        <w:t>classify eDRX into different groups based on eDRX length when defining requirements</w:t>
      </w:r>
      <w:r w:rsidR="00C45D8A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3B124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1E7E56">
        <w:rPr>
          <w:rFonts w:ascii="Times New Roman" w:hAnsi="Times New Roman" w:cs="Times New Roman" w:hint="eastAsia"/>
          <w:sz w:val="20"/>
          <w:szCs w:val="20"/>
          <w:lang w:val="en-GB"/>
        </w:rPr>
        <w:t>We</w:t>
      </w:r>
      <w:r w:rsidR="001E7E5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50CCB">
        <w:rPr>
          <w:rFonts w:ascii="Times New Roman" w:hAnsi="Times New Roman" w:cs="Times New Roman"/>
          <w:sz w:val="20"/>
          <w:szCs w:val="20"/>
          <w:lang w:val="en-GB"/>
        </w:rPr>
        <w:t>think it is appropriate</w:t>
      </w:r>
      <w:r w:rsidR="001E7E56">
        <w:rPr>
          <w:rFonts w:ascii="Times New Roman" w:hAnsi="Times New Roman" w:cs="Times New Roman"/>
          <w:sz w:val="20"/>
          <w:szCs w:val="20"/>
          <w:lang w:val="en-GB"/>
        </w:rPr>
        <w:t xml:space="preserve"> to </w:t>
      </w:r>
      <w:r w:rsidR="001E7E56" w:rsidRPr="001E7E56">
        <w:rPr>
          <w:rFonts w:ascii="Times New Roman" w:hAnsi="Times New Roman" w:cs="Times New Roman"/>
          <w:sz w:val="20"/>
          <w:szCs w:val="20"/>
          <w:lang w:val="en-GB"/>
        </w:rPr>
        <w:t xml:space="preserve">classify </w:t>
      </w:r>
      <w:r w:rsidR="001E7E56">
        <w:rPr>
          <w:rFonts w:ascii="Times New Roman" w:hAnsi="Times New Roman" w:cs="Times New Roman"/>
          <w:sz w:val="20"/>
          <w:szCs w:val="20"/>
          <w:lang w:val="en-GB"/>
        </w:rPr>
        <w:t xml:space="preserve">two </w:t>
      </w:r>
      <w:r w:rsidR="001E7E56" w:rsidRPr="001E7E56">
        <w:rPr>
          <w:rFonts w:ascii="Times New Roman" w:hAnsi="Times New Roman" w:cs="Times New Roman"/>
          <w:sz w:val="20"/>
          <w:szCs w:val="20"/>
          <w:lang w:val="en-GB"/>
        </w:rPr>
        <w:t>groups</w:t>
      </w:r>
      <w:r w:rsidR="001E7E56">
        <w:rPr>
          <w:rFonts w:ascii="Times New Roman" w:hAnsi="Times New Roman" w:cs="Times New Roman"/>
          <w:sz w:val="20"/>
          <w:szCs w:val="20"/>
          <w:lang w:val="en-GB"/>
        </w:rPr>
        <w:t xml:space="preserve"> of</w:t>
      </w:r>
      <w:r w:rsidR="001E7E56" w:rsidRPr="001E7E56">
        <w:rPr>
          <w:rFonts w:ascii="Times New Roman" w:hAnsi="Times New Roman" w:cs="Times New Roman"/>
          <w:sz w:val="20"/>
          <w:szCs w:val="20"/>
          <w:lang w:val="en-GB"/>
        </w:rPr>
        <w:t xml:space="preserve"> eDRX</w:t>
      </w:r>
      <w:r w:rsidR="001E7E56">
        <w:rPr>
          <w:rFonts w:ascii="Times New Roman" w:hAnsi="Times New Roman" w:cs="Times New Roman"/>
          <w:sz w:val="20"/>
          <w:szCs w:val="20"/>
          <w:lang w:val="en-GB"/>
        </w:rPr>
        <w:t xml:space="preserve"> cycle length considering eDRX with</w:t>
      </w:r>
      <w:r w:rsidR="00845B83">
        <w:rPr>
          <w:rFonts w:ascii="Times New Roman" w:hAnsi="Times New Roman" w:cs="Times New Roman"/>
          <w:sz w:val="20"/>
          <w:szCs w:val="20"/>
          <w:lang w:val="en-GB"/>
        </w:rPr>
        <w:t xml:space="preserve"> and without PTW</w:t>
      </w:r>
      <w:r w:rsidR="00550CCB">
        <w:rPr>
          <w:rFonts w:ascii="Times New Roman" w:hAnsi="Times New Roman" w:cs="Times New Roman"/>
          <w:sz w:val="20"/>
          <w:szCs w:val="20"/>
          <w:lang w:val="en-GB"/>
        </w:rPr>
        <w:t>, which is also align with the LTE eDRX requirements</w:t>
      </w:r>
      <w:r w:rsidR="001E7E56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73513B" w:rsidRPr="0073513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73513B">
        <w:rPr>
          <w:rFonts w:ascii="Times New Roman" w:hAnsi="Times New Roman" w:cs="Times New Roman"/>
          <w:sz w:val="20"/>
          <w:szCs w:val="20"/>
          <w:lang w:val="en-GB"/>
        </w:rPr>
        <w:t>As ther</w:t>
      </w:r>
      <w:r w:rsidR="0073513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 would be no PTW configured</w:t>
      </w:r>
      <w:r w:rsidR="0073513B" w:rsidRPr="0073513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73513B">
        <w:rPr>
          <w:rFonts w:ascii="Times New Roman" w:hAnsi="Times New Roman" w:cs="Times New Roman"/>
          <w:sz w:val="20"/>
          <w:szCs w:val="20"/>
          <w:lang w:val="en-GB"/>
        </w:rPr>
        <w:t xml:space="preserve">for </w:t>
      </w:r>
      <w:r w:rsidR="0073513B" w:rsidRPr="001E7E56">
        <w:rPr>
          <w:rFonts w:ascii="Times New Roman" w:hAnsi="Times New Roman" w:cs="Times New Roman"/>
          <w:sz w:val="20"/>
          <w:szCs w:val="20"/>
          <w:lang w:val="en-GB"/>
        </w:rPr>
        <w:t xml:space="preserve">eDRX cycles </w:t>
      </w:r>
      <w:r w:rsidR="0073513B">
        <w:rPr>
          <w:rFonts w:ascii="Times New Roman" w:hAnsi="Times New Roman" w:cs="Times New Roman"/>
          <w:sz w:val="20"/>
          <w:szCs w:val="20"/>
          <w:lang w:val="en-GB"/>
        </w:rPr>
        <w:t>up to 10.24s</w:t>
      </w:r>
      <w:r w:rsidR="0073513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F0505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corresponding requirements could be defined considering </w:t>
      </w:r>
      <w:r w:rsidR="00F0505F" w:rsidRPr="00F0505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eDRX cycle lengths up</w:t>
      </w:r>
      <w:r w:rsidR="00F0505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F0505F" w:rsidRPr="00F0505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to 10.24s</w:t>
      </w:r>
      <w:r w:rsidR="00F0505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</w:t>
      </w:r>
      <w:r w:rsidR="00F0505F" w:rsidRPr="00F0505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eDRX &gt; 10.24s</w:t>
      </w:r>
      <w:r w:rsidR="00F0505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:rsidR="001E7E56" w:rsidRDefault="00732BCC" w:rsidP="0048077D">
      <w:pPr>
        <w:spacing w:after="240"/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</w:pPr>
      <w:r w:rsidRPr="00732BC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Pr="00732BC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 w:rsidRPr="00732BC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 w:rsidRPr="00732BC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 w:rsidR="00D203B5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val="en-GB" w:eastAsia="en-US"/>
        </w:rPr>
        <w:t>2</w:t>
      </w:r>
      <w:r w:rsidRPr="00732BC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 w:rsidRPr="00732BC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: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RAN4 </w:t>
      </w:r>
      <w:r w:rsidRPr="00732BC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to 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define the requirements </w:t>
      </w:r>
      <w:r w:rsidR="006F548A" w:rsidRPr="006F548A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with</w:t>
      </w:r>
      <w:r w:rsidRPr="00732BC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two groups of eDRX cycle length considering eDRX with and without PTW</w:t>
      </w:r>
      <w:r w:rsidR="006F548A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6F548A" w:rsidRPr="006F548A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respectively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:rsidR="00104C4F" w:rsidRDefault="008D691F" w:rsidP="00BF6F30">
      <w:pPr>
        <w:pStyle w:val="2"/>
        <w:spacing w:after="0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8D691F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RRC_IDLE</w:t>
      </w:r>
      <w:r w:rsidR="00F10E6A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 xml:space="preserve"> </w:t>
      </w:r>
      <w:r w:rsidR="00F10E6A"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GB"/>
        </w:rPr>
        <w:t>state</w:t>
      </w:r>
    </w:p>
    <w:p w:rsidR="003307BF" w:rsidRDefault="00550CCB" w:rsidP="00550CCB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According to the current outcome,</w:t>
      </w:r>
      <w:r w:rsidRPr="00607FF0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the eDRX cycles for RRC_IDLE could be configured from the range of 2.56 s and </w:t>
      </w:r>
      <w:r w:rsidRPr="001E7E56">
        <w:rPr>
          <w:rFonts w:ascii="Times New Roman" w:hAnsi="Times New Roman" w:cs="Times New Roman"/>
          <w:sz w:val="20"/>
          <w:szCs w:val="20"/>
          <w:lang w:val="en-GB"/>
        </w:rPr>
        <w:t>10485.76 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33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As we support to </w:t>
      </w:r>
      <w:r w:rsidR="003307BF" w:rsidRPr="0033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classify eDRX into </w:t>
      </w:r>
      <w:r w:rsidR="0033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two</w:t>
      </w:r>
      <w:r w:rsidR="003307BF" w:rsidRPr="0033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groups</w:t>
      </w:r>
      <w:r w:rsidR="0033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the</w:t>
      </w:r>
      <w:r w:rsidR="003307BF" w:rsidRPr="0033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33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eDRX requirements for Idle mode could be defined </w:t>
      </w:r>
      <w:r w:rsidR="003A42C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two parts</w:t>
      </w:r>
      <w:r w:rsidR="0033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e.g. </w:t>
      </w:r>
      <w:r w:rsidR="003307BF" w:rsidRPr="0033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eDRX_cycle_length</w:t>
      </w:r>
      <w:r w:rsidR="0033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3307BF" w:rsidRPr="0033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≤</w:t>
      </w:r>
      <w:r w:rsidR="0033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3307BF" w:rsidRPr="0033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10.24s</w:t>
      </w:r>
      <w:r w:rsidR="0033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</w:t>
      </w:r>
      <w:r w:rsidR="003307BF" w:rsidRPr="0033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10.24s</w:t>
      </w:r>
      <w:r w:rsidR="0033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3307BF" w:rsidRPr="003307B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&lt;eDRX_cycle_length≤10485.76s</w:t>
      </w:r>
      <w:r w:rsidR="00F2328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:rsidR="003307BF" w:rsidRPr="00F23285" w:rsidRDefault="003307BF" w:rsidP="00B135E2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F23285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Pr="00F23285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 w:rsidRPr="00F23285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 w:rsidRPr="00F23285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 w:rsidR="00D203B5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val="en-GB" w:eastAsia="en-US"/>
        </w:rPr>
        <w:t>3</w:t>
      </w:r>
      <w:r w:rsidRPr="00F23285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 w:rsidRPr="00F23285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="00CD596F" w:rsidRPr="00F2328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</w:t>
      </w:r>
      <w:r w:rsidR="0032758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eDRX requirements </w:t>
      </w:r>
      <w:r w:rsidR="00327588" w:rsidRPr="006150D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for UE in RRC_INACTIVE</w:t>
      </w:r>
      <w:r w:rsidR="00CD596F" w:rsidRPr="003A42C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3A42CF" w:rsidRPr="003A42C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could be defined in two parts, </w:t>
      </w:r>
      <w:r w:rsidR="00CD596F" w:rsidRPr="003A42C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e.g.</w:t>
      </w:r>
      <w:r w:rsidR="00CD596F" w:rsidRPr="00F2328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eDRX_cycle_length ≤ 10.24s and 10.24s &lt;eDRX_cycle_length≤10485.76s</w:t>
      </w:r>
      <w:r w:rsidR="00F2328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:rsidR="00E02882" w:rsidRDefault="00AB01E1" w:rsidP="00B135E2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LTE, the eDRX requirements follow the configured eDRX cycle and the corresponding PTW and paging cycle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[</w:t>
      </w:r>
      <w:r w:rsidR="00550CC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3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]. </w:t>
      </w:r>
      <w:r w:rsidR="00E0288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Taking </w:t>
      </w:r>
      <w:r w:rsidR="00E02882" w:rsidRPr="00E0288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measurement requirements</w:t>
      </w:r>
      <w:r w:rsidR="00E0288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</w:t>
      </w:r>
      <w:r w:rsidR="00E02882" w:rsidRPr="00E0288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intra-frequency E-UTRAN cells</w:t>
      </w:r>
      <w:r w:rsidR="00E0288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</w:t>
      </w:r>
      <w:r w:rsidR="006125B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Idle mode as an</w:t>
      </w:r>
      <w:r w:rsidR="00E0288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example, the requirements are captured below.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2882" w:rsidTr="00E02882">
        <w:tc>
          <w:tcPr>
            <w:tcW w:w="9628" w:type="dxa"/>
          </w:tcPr>
          <w:p w:rsidR="00E02882" w:rsidRPr="00E02882" w:rsidRDefault="00E02882" w:rsidP="00E0288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E02882">
              <w:rPr>
                <w:rFonts w:ascii="Arial" w:eastAsia="Times New Roman" w:hAnsi="Arial" w:cs="Arial"/>
                <w:b/>
                <w:lang w:val="en-GB" w:eastAsia="en-GB"/>
              </w:rPr>
              <w:t>Table 4.2.2.3-2: T</w:t>
            </w:r>
            <w:r w:rsidRPr="00E02882">
              <w:rPr>
                <w:rFonts w:ascii="Arial" w:eastAsia="Times New Roman" w:hAnsi="Arial" w:cs="Arial"/>
                <w:b/>
                <w:vertAlign w:val="subscript"/>
                <w:lang w:val="en-GB" w:eastAsia="en-GB"/>
              </w:rPr>
              <w:t>detect,EUTRAN_Intra,</w:t>
            </w:r>
            <w:r w:rsidRPr="00E02882">
              <w:rPr>
                <w:rFonts w:ascii="Arial" w:eastAsia="Times New Roman" w:hAnsi="Arial" w:cs="Arial"/>
                <w:b/>
                <w:lang w:val="en-GB" w:eastAsia="en-GB"/>
              </w:rPr>
              <w:t xml:space="preserve"> T</w:t>
            </w:r>
            <w:r w:rsidRPr="00E02882">
              <w:rPr>
                <w:rFonts w:ascii="Arial" w:eastAsia="Times New Roman" w:hAnsi="Arial" w:cs="Arial"/>
                <w:b/>
                <w:vertAlign w:val="subscript"/>
                <w:lang w:val="en-GB" w:eastAsia="en-GB"/>
              </w:rPr>
              <w:t>measure,EUTRAN_Intra</w:t>
            </w:r>
            <w:r w:rsidRPr="00E02882">
              <w:rPr>
                <w:rFonts w:ascii="Arial" w:eastAsia="Times New Roman" w:hAnsi="Arial" w:cs="Arial"/>
                <w:b/>
                <w:lang w:val="en-GB" w:eastAsia="en-GB"/>
              </w:rPr>
              <w:t xml:space="preserve"> and T</w:t>
            </w:r>
            <w:r w:rsidRPr="00E02882">
              <w:rPr>
                <w:rFonts w:ascii="Arial" w:eastAsia="Times New Roman" w:hAnsi="Arial" w:cs="Arial"/>
                <w:b/>
                <w:vertAlign w:val="subscript"/>
                <w:lang w:val="en-GB" w:eastAsia="en-GB"/>
              </w:rPr>
              <w:t xml:space="preserve">evaluate,E-UTRAN_intra </w:t>
            </w:r>
            <w:r w:rsidRPr="00E02882">
              <w:rPr>
                <w:rFonts w:ascii="Arial" w:eastAsia="Times New Roman" w:hAnsi="Arial" w:cs="Arial"/>
                <w:b/>
                <w:lang w:val="en-GB" w:eastAsia="en-GB"/>
              </w:rPr>
              <w:t>for UE configured with eDRX_IDLE cycle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97"/>
              <w:gridCol w:w="567"/>
              <w:gridCol w:w="730"/>
              <w:gridCol w:w="4551"/>
              <w:gridCol w:w="1474"/>
              <w:gridCol w:w="883"/>
            </w:tblGrid>
            <w:tr w:rsidR="00E02882" w:rsidRPr="00E02882" w:rsidTr="00E02882">
              <w:trPr>
                <w:cantSplit/>
                <w:jc w:val="center"/>
              </w:trPr>
              <w:tc>
                <w:tcPr>
                  <w:tcW w:w="6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v4.2.0"/>
                      <w:b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v4.2.0"/>
                      <w:b/>
                      <w:sz w:val="18"/>
                      <w:lang w:val="en-GB" w:eastAsia="en-GB"/>
                    </w:rPr>
                    <w:t>eDRX_IDLE cycle length [s]</w:t>
                  </w:r>
                </w:p>
              </w:tc>
              <w:tc>
                <w:tcPr>
                  <w:tcW w:w="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napToGrid w:val="0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v4.2.0"/>
                      <w:b/>
                      <w:sz w:val="18"/>
                      <w:lang w:val="en-GB" w:eastAsia="en-GB"/>
                    </w:rPr>
                    <w:t>DRX cycle length [s]</w:t>
                  </w:r>
                </w:p>
              </w:tc>
              <w:tc>
                <w:tcPr>
                  <w:tcW w:w="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v4.2.0"/>
                      <w:b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v4.2.0"/>
                      <w:b/>
                      <w:sz w:val="18"/>
                      <w:lang w:val="en-GB" w:eastAsia="en-GB"/>
                    </w:rPr>
                    <w:t>PTW length [s]</w:t>
                  </w:r>
                  <w:r w:rsidRPr="00E02882">
                    <w:rPr>
                      <w:rFonts w:ascii="Arial" w:eastAsia="Times New Roman" w:hAnsi="Arial" w:cs="v4.2.0"/>
                      <w:b/>
                      <w:sz w:val="18"/>
                      <w:lang w:val="en-GB"/>
                    </w:rPr>
                    <w:t xml:space="preserve"> (</w:t>
                  </w:r>
                  <w:r w:rsidRPr="00E02882">
                    <w:rPr>
                      <w:rFonts w:ascii="Arial" w:eastAsia="Times New Roman" w:hAnsi="Arial" w:cs="Arial"/>
                      <w:b/>
                      <w:bCs/>
                      <w:iCs/>
                      <w:sz w:val="18"/>
                      <w:lang w:val="en-GB" w:eastAsia="ja-JP"/>
                    </w:rPr>
                    <w:t>number of 1.28s periods</w:t>
                  </w:r>
                  <w:r w:rsidRPr="00E02882">
                    <w:rPr>
                      <w:rFonts w:ascii="Arial" w:eastAsia="Times New Roman" w:hAnsi="Arial" w:cs="v4.2.0"/>
                      <w:b/>
                      <w:sz w:val="18"/>
                      <w:lang w:val="en-GB"/>
                    </w:rPr>
                    <w:t>)</w:t>
                  </w:r>
                </w:p>
              </w:tc>
              <w:tc>
                <w:tcPr>
                  <w:tcW w:w="23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v4.2.0"/>
                      <w:b/>
                      <w:sz w:val="18"/>
                      <w:lang w:val="en-GB" w:eastAsia="en-GB"/>
                    </w:rPr>
                    <w:t>T</w:t>
                  </w:r>
                  <w:r w:rsidRPr="00E02882">
                    <w:rPr>
                      <w:rFonts w:ascii="Arial" w:eastAsia="Times New Roman" w:hAnsi="Arial" w:cs="v4.2.0"/>
                      <w:b/>
                      <w:sz w:val="18"/>
                      <w:vertAlign w:val="subscript"/>
                      <w:lang w:val="en-GB" w:eastAsia="en-GB"/>
                    </w:rPr>
                    <w:t>detect,EUTRAN_Intra</w:t>
                  </w:r>
                  <w:r w:rsidRPr="00E02882">
                    <w:rPr>
                      <w:rFonts w:ascii="Arial" w:eastAsia="Times New Roman" w:hAnsi="Arial" w:cs="v4.2.0"/>
                      <w:b/>
                      <w:sz w:val="18"/>
                      <w:lang w:val="en-GB" w:eastAsia="en-GB"/>
                    </w:rPr>
                    <w:t xml:space="preserve"> [s] (number of DRX or eDRX cycles</w:t>
                  </w:r>
                  <w:r w:rsidRPr="00E02882">
                    <w:rPr>
                      <w:rFonts w:ascii="Arial" w:eastAsia="Times New Roman" w:hAnsi="Arial" w:cs="Arial"/>
                      <w:b/>
                      <w:sz w:val="18"/>
                      <w:vertAlign w:val="superscript"/>
                      <w:lang w:val="en-GB"/>
                    </w:rPr>
                    <w:t xml:space="preserve"> Note 3</w:t>
                  </w:r>
                  <w:r w:rsidRPr="00E02882">
                    <w:rPr>
                      <w:rFonts w:ascii="Arial" w:eastAsia="Times New Roman" w:hAnsi="Arial" w:cs="v4.2.0"/>
                      <w:b/>
                      <w:sz w:val="18"/>
                      <w:lang w:val="en-GB" w:eastAsia="en-GB"/>
                    </w:rPr>
                    <w:t>)</w:t>
                  </w: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napToGrid w:val="0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v4.2.0"/>
                      <w:b/>
                      <w:sz w:val="18"/>
                      <w:lang w:val="en-GB" w:eastAsia="en-GB"/>
                    </w:rPr>
                    <w:t>T</w:t>
                  </w:r>
                  <w:r w:rsidRPr="00E02882">
                    <w:rPr>
                      <w:rFonts w:ascii="Arial" w:eastAsia="Times New Roman" w:hAnsi="Arial" w:cs="v4.2.0"/>
                      <w:b/>
                      <w:sz w:val="18"/>
                      <w:vertAlign w:val="subscript"/>
                      <w:lang w:val="en-GB" w:eastAsia="en-GB"/>
                    </w:rPr>
                    <w:t>measure,EUTRAN_Intra</w:t>
                  </w:r>
                  <w:r w:rsidRPr="00E02882">
                    <w:rPr>
                      <w:rFonts w:ascii="Arial" w:eastAsia="Times New Roman" w:hAnsi="Arial" w:cs="v4.2.0"/>
                      <w:b/>
                      <w:sz w:val="18"/>
                      <w:lang w:val="en-GB" w:eastAsia="en-GB"/>
                    </w:rPr>
                    <w:t xml:space="preserve"> [s] (number of DRX or eDRX cycles</w:t>
                  </w:r>
                  <w:r w:rsidRPr="00E02882">
                    <w:rPr>
                      <w:rFonts w:ascii="Arial" w:eastAsia="Times New Roman" w:hAnsi="Arial" w:cs="Arial"/>
                      <w:b/>
                      <w:sz w:val="18"/>
                      <w:vertAlign w:val="superscript"/>
                      <w:lang w:val="en-GB"/>
                    </w:rPr>
                    <w:t xml:space="preserve"> Note 3</w:t>
                  </w:r>
                  <w:r w:rsidRPr="00E02882">
                    <w:rPr>
                      <w:rFonts w:ascii="Arial" w:eastAsia="Times New Roman" w:hAnsi="Arial" w:cs="v4.2.0"/>
                      <w:b/>
                      <w:sz w:val="18"/>
                      <w:lang w:val="en-GB" w:eastAsia="en-GB"/>
                    </w:rPr>
                    <w:t>)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  <w:vertAlign w:val="subscript"/>
                      <w:lang w:val="en-GB" w:eastAsia="en-GB"/>
                    </w:rPr>
                  </w:pPr>
                  <w:r w:rsidRPr="00E02882">
                    <w:rPr>
                      <w:rFonts w:ascii="Arial" w:eastAsia="Times New Roman" w:hAnsi="Arial" w:cs="v4.2.0"/>
                      <w:b/>
                      <w:sz w:val="18"/>
                      <w:lang w:val="en-GB" w:eastAsia="en-GB"/>
                    </w:rPr>
                    <w:t>T</w:t>
                  </w:r>
                  <w:r w:rsidRPr="00E02882">
                    <w:rPr>
                      <w:rFonts w:ascii="Arial" w:eastAsia="Times New Roman" w:hAnsi="Arial" w:cs="v4.2.0"/>
                      <w:b/>
                      <w:sz w:val="18"/>
                      <w:vertAlign w:val="subscript"/>
                      <w:lang w:val="en-GB" w:eastAsia="en-GB"/>
                    </w:rPr>
                    <w:t>evaluate,E-UTRAN_intra</w:t>
                  </w:r>
                </w:p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b/>
                      <w:sz w:val="18"/>
                      <w:lang w:val="en-GB" w:eastAsia="en-GB"/>
                    </w:rPr>
                    <w:t xml:space="preserve">[s] (number of DRX </w:t>
                  </w:r>
                  <w:r w:rsidRPr="00E02882">
                    <w:rPr>
                      <w:rFonts w:ascii="Arial" w:eastAsia="Times New Roman" w:hAnsi="Arial" w:cs="v4.2.0"/>
                      <w:b/>
                      <w:sz w:val="18"/>
                      <w:lang w:val="en-GB" w:eastAsia="en-GB"/>
                    </w:rPr>
                    <w:t>or eDRX</w:t>
                  </w:r>
                  <w:r w:rsidRPr="00E02882">
                    <w:rPr>
                      <w:rFonts w:ascii="Arial" w:eastAsia="Times New Roman" w:hAnsi="Arial" w:cs="Arial"/>
                      <w:b/>
                      <w:sz w:val="18"/>
                      <w:lang w:val="en-GB" w:eastAsia="en-GB"/>
                    </w:rPr>
                    <w:t xml:space="preserve"> cycles</w:t>
                  </w:r>
                  <w:r w:rsidRPr="00E02882">
                    <w:rPr>
                      <w:rFonts w:ascii="Arial" w:eastAsia="Times New Roman" w:hAnsi="Arial" w:cs="Arial"/>
                      <w:b/>
                      <w:sz w:val="18"/>
                      <w:vertAlign w:val="superscript"/>
                      <w:lang w:val="en-GB"/>
                    </w:rPr>
                    <w:t xml:space="preserve"> Note 3</w:t>
                  </w:r>
                  <w:r w:rsidRPr="00E02882">
                    <w:rPr>
                      <w:rFonts w:ascii="Arial" w:eastAsia="Times New Roman" w:hAnsi="Arial" w:cs="Arial"/>
                      <w:b/>
                      <w:sz w:val="18"/>
                      <w:lang w:val="en-GB" w:eastAsia="en-GB"/>
                    </w:rPr>
                    <w:t>)</w:t>
                  </w:r>
                </w:p>
              </w:tc>
            </w:tr>
            <w:tr w:rsidR="00E02882" w:rsidRPr="00E02882" w:rsidTr="00E02882">
              <w:trPr>
                <w:cantSplit/>
                <w:jc w:val="center"/>
              </w:trPr>
              <w:tc>
                <w:tcPr>
                  <w:tcW w:w="6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z w:val="18"/>
                      <w:lang w:val="en-GB" w:eastAsia="en-GB"/>
                    </w:rPr>
                    <w:t>5.12</w:t>
                  </w:r>
                </w:p>
              </w:tc>
              <w:tc>
                <w:tcPr>
                  <w:tcW w:w="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z w:val="18"/>
                      <w:lang w:val="en-GB"/>
                    </w:rPr>
                    <w:t>N/A</w:t>
                  </w:r>
                </w:p>
              </w:tc>
              <w:tc>
                <w:tcPr>
                  <w:tcW w:w="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z w:val="18"/>
                      <w:lang w:val="en-GB"/>
                    </w:rPr>
                    <w:t>N/A</w:t>
                  </w:r>
                </w:p>
              </w:tc>
              <w:tc>
                <w:tcPr>
                  <w:tcW w:w="23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tabs>
                      <w:tab w:val="right" w:leader="dot" w:pos="9639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noProof/>
                      <w:kern w:val="0"/>
                      <w:sz w:val="18"/>
                      <w:szCs w:val="18"/>
                      <w:lang w:val="en-GB" w:eastAsia="en-GB"/>
                    </w:rPr>
                  </w:pPr>
                  <w:r w:rsidRPr="00E02882">
                    <w:rPr>
                      <w:rFonts w:ascii="Arial" w:eastAsia="宋体" w:hAnsi="Arial" w:cs="Arial"/>
                      <w:noProof/>
                      <w:kern w:val="0"/>
                      <w:sz w:val="18"/>
                      <w:szCs w:val="18"/>
                      <w:lang w:val="en-GB"/>
                    </w:rPr>
                    <w:t>117.76 (23)</w:t>
                  </w: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napToGrid w:val="0"/>
                      <w:kern w:val="0"/>
                      <w:sz w:val="18"/>
                      <w:szCs w:val="18"/>
                      <w:lang w:val="en-GB" w:eastAsia="en-GB"/>
                    </w:rPr>
                  </w:pPr>
                  <w:r w:rsidRPr="00E02882">
                    <w:rPr>
                      <w:rFonts w:ascii="Arial" w:eastAsia="宋体" w:hAnsi="Arial" w:cs="Arial"/>
                      <w:snapToGrid w:val="0"/>
                      <w:kern w:val="0"/>
                      <w:sz w:val="18"/>
                      <w:szCs w:val="18"/>
                      <w:lang w:val="en-GB"/>
                    </w:rPr>
                    <w:t>5.12 (1)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napToGrid w:val="0"/>
                      <w:sz w:val="18"/>
                      <w:szCs w:val="20"/>
                      <w:lang w:val="en-GB" w:eastAsia="en-US"/>
                    </w:rPr>
                  </w:pPr>
                  <w:r w:rsidRPr="00E02882">
                    <w:rPr>
                      <w:rFonts w:ascii="Arial" w:eastAsia="宋体" w:hAnsi="Arial" w:cs="Arial"/>
                      <w:snapToGrid w:val="0"/>
                      <w:sz w:val="18"/>
                      <w:szCs w:val="18"/>
                      <w:lang w:val="en-GB"/>
                    </w:rPr>
                    <w:t>10.24 (2)</w:t>
                  </w:r>
                </w:p>
              </w:tc>
            </w:tr>
            <w:tr w:rsidR="00E02882" w:rsidRPr="00E02882" w:rsidTr="00E02882">
              <w:trPr>
                <w:cantSplit/>
                <w:jc w:val="center"/>
              </w:trPr>
              <w:tc>
                <w:tcPr>
                  <w:tcW w:w="6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z w:val="18"/>
                      <w:lang w:val="en-GB" w:eastAsia="en-GB"/>
                    </w:rPr>
                    <w:t>10.24 ≤ eDRX_IDLE cycle length ≤ 2621.44</w:t>
                  </w:r>
                </w:p>
              </w:tc>
              <w:tc>
                <w:tcPr>
                  <w:tcW w:w="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napToGrid w:val="0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  <w:t>0.32</w:t>
                  </w:r>
                </w:p>
              </w:tc>
              <w:tc>
                <w:tcPr>
                  <w:tcW w:w="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  <w:t>≥1</w:t>
                  </w:r>
                  <w:r w:rsidRPr="00E02882">
                    <w:rPr>
                      <w:rFonts w:ascii="Arial" w:eastAsia="Times New Roman" w:hAnsi="Arial" w:cs="Arial"/>
                      <w:sz w:val="18"/>
                      <w:lang w:val="en-GB"/>
                    </w:rPr>
                    <w:t>.28 (1)</w:t>
                  </w:r>
                </w:p>
              </w:tc>
              <w:tc>
                <w:tcPr>
                  <w:tcW w:w="230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tabs>
                      <w:tab w:val="right" w:leader="dot" w:pos="9639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noProof/>
                      <w:snapToGrid w:val="0"/>
                      <w:kern w:val="0"/>
                      <w:sz w:val="18"/>
                      <w:szCs w:val="18"/>
                      <w:lang w:val="en-GB" w:eastAsia="en-GB"/>
                    </w:rPr>
                  </w:pPr>
                  <w:r w:rsidRPr="00E02882">
                    <w:rPr>
                      <w:rFonts w:ascii="Arial" w:eastAsia="Times New Roman" w:hAnsi="Arial" w:cs="Arial"/>
                      <w:noProof/>
                      <w:kern w:val="0"/>
                      <w:position w:val="-32"/>
                      <w:sz w:val="18"/>
                      <w:szCs w:val="18"/>
                      <w:lang w:val="en-GB" w:eastAsia="en-GB"/>
                    </w:rPr>
                    <w:object w:dxaOrig="4536" w:dyaOrig="61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26.9pt;height:30.8pt" o:ole="">
                        <v:imagedata r:id="rId7" o:title=""/>
                      </v:shape>
                      <o:OLEObject Type="Embed" ProgID="Equation.3" ShapeID="_x0000_i1025" DrawAspect="Content" ObjectID="_1696427188" r:id="rId8"/>
                    </w:object>
                  </w:r>
                  <w:r w:rsidRPr="00E02882">
                    <w:rPr>
                      <w:rFonts w:ascii="Arial" w:eastAsia="Times New Roman" w:hAnsi="Arial" w:cs="Arial"/>
                      <w:noProof/>
                      <w:kern w:val="0"/>
                      <w:sz w:val="18"/>
                      <w:szCs w:val="18"/>
                      <w:lang w:val="en-GB" w:eastAsia="en-GB"/>
                    </w:rPr>
                    <w:t xml:space="preserve"> (23)</w:t>
                  </w: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napToGrid w:val="0"/>
                      <w:kern w:val="0"/>
                      <w:sz w:val="18"/>
                      <w:szCs w:val="18"/>
                      <w:lang w:val="en-GB" w:eastAsia="en-GB"/>
                    </w:rPr>
                  </w:pPr>
                  <w:r w:rsidRPr="00E02882">
                    <w:rPr>
                      <w:rFonts w:ascii="Arial" w:eastAsia="Times New Roman" w:hAnsi="Arial" w:cs="Arial"/>
                      <w:snapToGrid w:val="0"/>
                      <w:kern w:val="0"/>
                      <w:sz w:val="18"/>
                      <w:szCs w:val="18"/>
                      <w:lang w:val="en-GB" w:eastAsia="en-GB"/>
                    </w:rPr>
                    <w:t>0.32 (1)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napToGrid w:val="0"/>
                      <w:sz w:val="18"/>
                      <w:szCs w:val="20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napToGrid w:val="0"/>
                      <w:sz w:val="18"/>
                      <w:lang w:val="en-GB" w:eastAsia="en-US"/>
                    </w:rPr>
                    <w:t>0.64 (2)</w:t>
                  </w:r>
                </w:p>
              </w:tc>
            </w:tr>
            <w:tr w:rsidR="00E02882" w:rsidRPr="00E02882" w:rsidTr="00E02882">
              <w:trPr>
                <w:cantSplit/>
                <w:jc w:val="center"/>
              </w:trPr>
              <w:tc>
                <w:tcPr>
                  <w:tcW w:w="60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2882" w:rsidRPr="00E02882" w:rsidRDefault="00E02882" w:rsidP="00E02882">
                  <w:pPr>
                    <w:widowControl/>
                    <w:jc w:val="left"/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napToGrid w:val="0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  <w:t>0.64</w:t>
                  </w:r>
                </w:p>
              </w:tc>
              <w:tc>
                <w:tcPr>
                  <w:tcW w:w="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z w:val="18"/>
                      <w:lang w:val="en-GB" w:eastAsia="ja-JP"/>
                    </w:rPr>
                    <w:t>≥</w:t>
                  </w:r>
                  <w:r w:rsidRPr="00E02882">
                    <w:rPr>
                      <w:rFonts w:ascii="Arial" w:eastAsia="Times New Roman" w:hAnsi="Arial" w:cs="Arial"/>
                      <w:sz w:val="18"/>
                      <w:lang w:val="en-GB"/>
                    </w:rPr>
                    <w:t>1.</w:t>
                  </w:r>
                  <w:r w:rsidRPr="00E02882">
                    <w:rPr>
                      <w:rFonts w:ascii="Arial" w:eastAsia="Times New Roman" w:hAnsi="Arial" w:cs="Arial"/>
                      <w:sz w:val="18"/>
                      <w:lang w:val="en-GB" w:eastAsia="ja-JP"/>
                    </w:rPr>
                    <w:t>2</w:t>
                  </w:r>
                  <w:r w:rsidRPr="00E02882">
                    <w:rPr>
                      <w:rFonts w:ascii="Arial" w:eastAsia="Times New Roman" w:hAnsi="Arial" w:cs="Arial"/>
                      <w:sz w:val="18"/>
                      <w:lang w:val="en-GB"/>
                    </w:rPr>
                    <w:t>8 (1)</w:t>
                  </w:r>
                </w:p>
              </w:tc>
              <w:tc>
                <w:tcPr>
                  <w:tcW w:w="230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2882" w:rsidRPr="00E02882" w:rsidRDefault="00E02882" w:rsidP="00E02882">
                  <w:pPr>
                    <w:widowControl/>
                    <w:jc w:val="left"/>
                    <w:rPr>
                      <w:rFonts w:ascii="Arial" w:eastAsia="Times New Roman" w:hAnsi="Arial" w:cs="Arial"/>
                      <w:noProof/>
                      <w:snapToGrid w:val="0"/>
                      <w:kern w:val="0"/>
                      <w:sz w:val="18"/>
                      <w:szCs w:val="18"/>
                      <w:lang w:val="en-GB" w:eastAsia="en-GB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napToGrid w:val="0"/>
                      <w:kern w:val="0"/>
                      <w:sz w:val="18"/>
                      <w:szCs w:val="18"/>
                      <w:lang w:val="en-GB" w:eastAsia="en-GB"/>
                    </w:rPr>
                  </w:pPr>
                  <w:r w:rsidRPr="00E02882">
                    <w:rPr>
                      <w:rFonts w:ascii="Arial" w:eastAsia="Times New Roman" w:hAnsi="Arial" w:cs="Arial"/>
                      <w:snapToGrid w:val="0"/>
                      <w:kern w:val="0"/>
                      <w:sz w:val="18"/>
                      <w:szCs w:val="18"/>
                      <w:lang w:val="en-GB" w:eastAsia="en-GB"/>
                    </w:rPr>
                    <w:t>0.64 (1)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napToGrid w:val="0"/>
                      <w:sz w:val="18"/>
                      <w:szCs w:val="20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napToGrid w:val="0"/>
                      <w:sz w:val="18"/>
                      <w:lang w:val="en-GB" w:eastAsia="en-US"/>
                    </w:rPr>
                    <w:t>1.28 (2)</w:t>
                  </w:r>
                </w:p>
              </w:tc>
            </w:tr>
            <w:tr w:rsidR="00E02882" w:rsidRPr="00E02882" w:rsidTr="00E02882">
              <w:trPr>
                <w:cantSplit/>
                <w:jc w:val="center"/>
              </w:trPr>
              <w:tc>
                <w:tcPr>
                  <w:tcW w:w="60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2882" w:rsidRPr="00E02882" w:rsidRDefault="00E02882" w:rsidP="00E02882">
                  <w:pPr>
                    <w:widowControl/>
                    <w:jc w:val="left"/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napToGrid w:val="0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  <w:t>1.28</w:t>
                  </w:r>
                </w:p>
              </w:tc>
              <w:tc>
                <w:tcPr>
                  <w:tcW w:w="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z w:val="18"/>
                      <w:lang w:val="en-GB" w:eastAsia="ja-JP"/>
                    </w:rPr>
                    <w:t>≥</w:t>
                  </w:r>
                  <w:r w:rsidRPr="00E02882">
                    <w:rPr>
                      <w:rFonts w:ascii="Arial" w:eastAsia="Times New Roman" w:hAnsi="Arial" w:cs="Arial"/>
                      <w:sz w:val="18"/>
                      <w:lang w:val="en-GB"/>
                    </w:rPr>
                    <w:t>2.56 (2)</w:t>
                  </w:r>
                </w:p>
              </w:tc>
              <w:tc>
                <w:tcPr>
                  <w:tcW w:w="230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2882" w:rsidRPr="00E02882" w:rsidRDefault="00E02882" w:rsidP="00E02882">
                  <w:pPr>
                    <w:widowControl/>
                    <w:jc w:val="left"/>
                    <w:rPr>
                      <w:rFonts w:ascii="Arial" w:eastAsia="Times New Roman" w:hAnsi="Arial" w:cs="Arial"/>
                      <w:noProof/>
                      <w:snapToGrid w:val="0"/>
                      <w:kern w:val="0"/>
                      <w:sz w:val="18"/>
                      <w:szCs w:val="18"/>
                      <w:lang w:val="en-GB" w:eastAsia="en-GB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napToGrid w:val="0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napToGrid w:val="0"/>
                      <w:sz w:val="18"/>
                      <w:lang w:val="en-GB" w:eastAsia="en-US"/>
                    </w:rPr>
                    <w:t>1.28 (1)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napToGrid w:val="0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napToGrid w:val="0"/>
                      <w:sz w:val="18"/>
                      <w:lang w:val="en-GB" w:eastAsia="en-US"/>
                    </w:rPr>
                    <w:t>2.56 (2)</w:t>
                  </w:r>
                </w:p>
              </w:tc>
            </w:tr>
            <w:tr w:rsidR="00E02882" w:rsidRPr="00E02882" w:rsidTr="00E02882">
              <w:trPr>
                <w:cantSplit/>
                <w:jc w:val="center"/>
              </w:trPr>
              <w:tc>
                <w:tcPr>
                  <w:tcW w:w="60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2882" w:rsidRPr="00E02882" w:rsidRDefault="00E02882" w:rsidP="00E02882">
                  <w:pPr>
                    <w:widowControl/>
                    <w:jc w:val="left"/>
                    <w:rPr>
                      <w:rFonts w:ascii="Arial" w:eastAsia="Times New Roman" w:hAnsi="Arial" w:cs="Arial"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2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napToGrid w:val="0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  <w:t>2.56</w:t>
                  </w:r>
                </w:p>
              </w:tc>
              <w:tc>
                <w:tcPr>
                  <w:tcW w:w="3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z w:val="18"/>
                      <w:lang w:val="en-GB" w:eastAsia="ja-JP"/>
                    </w:rPr>
                    <w:t>≥</w:t>
                  </w:r>
                  <w:r w:rsidRPr="00E02882">
                    <w:rPr>
                      <w:rFonts w:ascii="Arial" w:eastAsia="Times New Roman" w:hAnsi="Arial" w:cs="Arial"/>
                      <w:sz w:val="18"/>
                      <w:lang w:val="en-GB"/>
                    </w:rPr>
                    <w:t>5.12 (4)</w:t>
                  </w:r>
                </w:p>
              </w:tc>
              <w:tc>
                <w:tcPr>
                  <w:tcW w:w="230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2882" w:rsidRPr="00E02882" w:rsidRDefault="00E02882" w:rsidP="00E02882">
                  <w:pPr>
                    <w:widowControl/>
                    <w:jc w:val="left"/>
                    <w:rPr>
                      <w:rFonts w:ascii="Arial" w:eastAsia="Times New Roman" w:hAnsi="Arial" w:cs="Arial"/>
                      <w:noProof/>
                      <w:snapToGrid w:val="0"/>
                      <w:kern w:val="0"/>
                      <w:sz w:val="18"/>
                      <w:szCs w:val="18"/>
                      <w:lang w:val="en-GB" w:eastAsia="en-GB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napToGrid w:val="0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napToGrid w:val="0"/>
                      <w:sz w:val="18"/>
                      <w:lang w:val="en-GB" w:eastAsia="en-US"/>
                    </w:rPr>
                    <w:t>2.56 (1)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napToGrid w:val="0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  <w:t>5.12 (2)</w:t>
                  </w:r>
                </w:p>
              </w:tc>
            </w:tr>
            <w:tr w:rsidR="00E02882" w:rsidRPr="00E02882" w:rsidTr="00E02882">
              <w:trPr>
                <w:cantSplit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  <w:t>NOTE 1: The number of DRX cycles in this table is given for the DRX cycles within PTWs.</w:t>
                  </w:r>
                </w:p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  <w:t>NOTE 2: The eDRX_IDLE cycle lengths are as specified in Section 10.5.5.32 of TS 24.008 [34].</w:t>
                  </w:r>
                </w:p>
                <w:p w:rsidR="00E02882" w:rsidRPr="00E02882" w:rsidRDefault="00E02882" w:rsidP="00E02882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lang w:val="en-GB" w:eastAsia="en-US"/>
                    </w:rPr>
                  </w:pPr>
                  <w:r w:rsidRPr="00E02882">
                    <w:rPr>
                      <w:rFonts w:ascii="Arial" w:eastAsia="Times New Roman" w:hAnsi="Arial" w:cs="Arial"/>
                      <w:sz w:val="18"/>
                      <w:lang w:val="en-GB" w:eastAsia="en-GB"/>
                    </w:rPr>
                    <w:t>NOTE 3: Number of eDRX cycles when eDRX_IDLE cycle length equals 5.12s, number of DRX cycles otherwise.</w:t>
                  </w:r>
                </w:p>
              </w:tc>
            </w:tr>
          </w:tbl>
          <w:p w:rsidR="00E02882" w:rsidRPr="00E02882" w:rsidRDefault="00E02882" w:rsidP="00B135E2">
            <w:pPr>
              <w:spacing w:after="24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2882" w:rsidRPr="00E02882" w:rsidRDefault="00E02882" w:rsidP="00B135E2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From our perspective, the NR eDRX requirement</w:t>
      </w:r>
      <w:r w:rsidR="007C7ACA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could follow the same approach</w:t>
      </w:r>
      <w:r w:rsidR="003A4A67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that considering both </w:t>
      </w:r>
      <w:r w:rsidR="003A4A6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PTW and paging </w:t>
      </w:r>
      <w:r w:rsidR="003A4A6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lastRenderedPageBreak/>
        <w:t>cycle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Pr="00E02882">
        <w:rPr>
          <w:rFonts w:ascii="Times New Roman" w:eastAsia="宋体" w:hAnsi="Times New Roman" w:cs="Times New Roman"/>
          <w:kern w:val="0"/>
          <w:sz w:val="20"/>
          <w:szCs w:val="20"/>
        </w:rPr>
        <w:t>at least for the legacy eDRX cycles</w:t>
      </w:r>
      <w:r w:rsidR="00DE02AF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</w:t>
      </w:r>
      <w:r w:rsidR="007C7ACA">
        <w:rPr>
          <w:rFonts w:ascii="Times New Roman" w:eastAsia="宋体" w:hAnsi="Times New Roman" w:cs="Times New Roman"/>
          <w:kern w:val="0"/>
          <w:sz w:val="20"/>
          <w:szCs w:val="20"/>
        </w:rPr>
        <w:t>FR1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6125B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:rsidR="003A4A67" w:rsidRPr="009D1907" w:rsidRDefault="002C01B7" w:rsidP="009D1907">
      <w:pPr>
        <w:pStyle w:val="af3"/>
        <w:spacing w:after="240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D203B5">
        <w:rPr>
          <w:noProof/>
        </w:rPr>
        <w:t>4</w:t>
      </w:r>
      <w:r>
        <w:fldChar w:fldCharType="end"/>
      </w:r>
      <w:r>
        <w:t>:</w:t>
      </w:r>
      <w:r w:rsidR="00C339DD">
        <w:t xml:space="preserve"> RAN4 </w:t>
      </w:r>
      <w:r w:rsidR="00254520">
        <w:t>to</w:t>
      </w:r>
      <w:r w:rsidR="00AB01E1" w:rsidRPr="00CC4D42">
        <w:t xml:space="preserve"> use LTE</w:t>
      </w:r>
      <w:r w:rsidR="00AB01E1">
        <w:t xml:space="preserve"> eDRX</w:t>
      </w:r>
      <w:r w:rsidR="00AB01E1" w:rsidRPr="00CC4D42">
        <w:t xml:space="preserve"> requirements </w:t>
      </w:r>
      <w:r w:rsidR="00AB01E1" w:rsidRPr="00004B16">
        <w:t xml:space="preserve">approach as baseline </w:t>
      </w:r>
      <w:r w:rsidR="00AB01E1" w:rsidRPr="00CC4D42">
        <w:t xml:space="preserve">when developing </w:t>
      </w:r>
      <w:r w:rsidR="00AB01E1">
        <w:t>NR eDRX</w:t>
      </w:r>
      <w:r w:rsidR="00AB01E1" w:rsidRPr="00CC4D42">
        <w:t xml:space="preserve"> requirements</w:t>
      </w:r>
      <w:r w:rsidR="00AB01E1">
        <w:t xml:space="preserve">, at least for the </w:t>
      </w:r>
      <w:r w:rsidR="00AB01E1">
        <w:rPr>
          <w:rFonts w:hint="eastAsia"/>
        </w:rPr>
        <w:t xml:space="preserve">legacy </w:t>
      </w:r>
      <w:r w:rsidR="00AB01E1">
        <w:t>e</w:t>
      </w:r>
      <w:r w:rsidR="00AB01E1" w:rsidRPr="003A02AE">
        <w:t>DRX cycles</w:t>
      </w:r>
      <w:r w:rsidR="00C00566">
        <w:t xml:space="preserve"> for FR1</w:t>
      </w:r>
      <w:r w:rsidR="00AB01E1" w:rsidRPr="003A02AE">
        <w:t>.</w:t>
      </w:r>
    </w:p>
    <w:p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:rsidR="00D203B5" w:rsidRDefault="00D203B5" w:rsidP="00D203B5">
      <w:pPr>
        <w:spacing w:after="24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C5759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Pr="00C5759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 w:rsidRPr="00C5759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 w:rsidRPr="00C5759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val="en-GB" w:eastAsia="en-US"/>
        </w:rPr>
        <w:t>1</w:t>
      </w:r>
      <w:r w:rsidRPr="00C5759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 w:rsidRPr="00C57590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RAN4 to </w:t>
      </w:r>
      <w:r w:rsidRPr="00C57590">
        <w:rPr>
          <w:rFonts w:ascii="Times New Roman" w:hAnsi="Times New Roman" w:cs="Times New Roman"/>
          <w:b/>
          <w:sz w:val="20"/>
          <w:szCs w:val="20"/>
          <w:lang w:val="en-GB"/>
        </w:rPr>
        <w:t xml:space="preserve">de-prioritize the eDRX requirements </w:t>
      </w:r>
      <w:r w:rsidRPr="00C57590">
        <w:rPr>
          <w:rFonts w:ascii="Times New Roman" w:hAnsi="Times New Roman" w:cs="Times New Roman" w:hint="eastAsia"/>
          <w:b/>
          <w:sz w:val="20"/>
          <w:szCs w:val="20"/>
          <w:lang w:val="en-GB"/>
        </w:rPr>
        <w:t>for</w:t>
      </w:r>
      <w:r w:rsidRPr="00C57590">
        <w:rPr>
          <w:rFonts w:ascii="Times New Roman" w:hAnsi="Times New Roman" w:cs="Times New Roman"/>
          <w:b/>
          <w:sz w:val="20"/>
          <w:szCs w:val="20"/>
          <w:lang w:val="en-GB"/>
        </w:rPr>
        <w:t xml:space="preserve"> FR2.</w:t>
      </w:r>
    </w:p>
    <w:p w:rsidR="00D203B5" w:rsidRDefault="00D203B5" w:rsidP="00D203B5">
      <w:pPr>
        <w:spacing w:after="240"/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</w:pPr>
      <w:r w:rsidRPr="00732BC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Pr="00732BC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 w:rsidRPr="00732BC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 w:rsidRPr="00732BC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val="en-GB" w:eastAsia="en-US"/>
        </w:rPr>
        <w:t>2</w:t>
      </w:r>
      <w:r w:rsidRPr="00732BC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 w:rsidRPr="00732BC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: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RAN4 </w:t>
      </w:r>
      <w:r w:rsidRPr="00732BC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to 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define the requirements </w:t>
      </w:r>
      <w:r w:rsidRPr="006F548A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with</w:t>
      </w:r>
      <w:r w:rsidRPr="00732BC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two groups of eDRX cycle length considering eDRX with and without PTW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6F548A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respectively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:rsidR="00D203B5" w:rsidRPr="00F23285" w:rsidRDefault="00D203B5" w:rsidP="00D203B5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F23285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Proposal</w:t>
      </w:r>
      <w:r w:rsidR="006D327D" w:rsidRPr="00732BCC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bookmarkStart w:id="3" w:name="_GoBack"/>
      <w:bookmarkEnd w:id="3"/>
      <w:r w:rsidRPr="00F23285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begin"/>
      </w:r>
      <w:r w:rsidRPr="00F23285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 w:rsidRPr="00F23285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val="en-GB" w:eastAsia="en-US"/>
        </w:rPr>
        <w:t>3</w:t>
      </w:r>
      <w:r w:rsidRPr="00F23285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fldChar w:fldCharType="end"/>
      </w:r>
      <w:r w:rsidRPr="00F23285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F2328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eDRX requirements </w:t>
      </w:r>
      <w:r w:rsidRPr="006150D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for UE in RRC_INACTIVE</w:t>
      </w:r>
      <w:r w:rsidRPr="003A42C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could be defined in two parts, e.g.</w:t>
      </w:r>
      <w:r w:rsidRPr="00F2328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eDRX_cycle_length ≤ 10.24s and 10.24s &lt;eDRX_cycle_length≤10485.76s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:rsidR="00D203B5" w:rsidRPr="009D1907" w:rsidRDefault="00D203B5" w:rsidP="00D203B5">
      <w:pPr>
        <w:pStyle w:val="af3"/>
        <w:spacing w:after="240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RAN4 to</w:t>
      </w:r>
      <w:r w:rsidRPr="00CC4D42">
        <w:t xml:space="preserve"> use LTE</w:t>
      </w:r>
      <w:r>
        <w:t xml:space="preserve"> eDRX</w:t>
      </w:r>
      <w:r w:rsidRPr="00CC4D42">
        <w:t xml:space="preserve"> requirements </w:t>
      </w:r>
      <w:r w:rsidRPr="00004B16">
        <w:t xml:space="preserve">approach as baseline </w:t>
      </w:r>
      <w:r w:rsidRPr="00CC4D42">
        <w:t xml:space="preserve">when developing </w:t>
      </w:r>
      <w:r>
        <w:t>NR eDRX</w:t>
      </w:r>
      <w:r w:rsidRPr="00CC4D42">
        <w:t xml:space="preserve"> requirements</w:t>
      </w:r>
      <w:r>
        <w:t xml:space="preserve">, at least for the </w:t>
      </w:r>
      <w:r>
        <w:rPr>
          <w:rFonts w:hint="eastAsia"/>
        </w:rPr>
        <w:t xml:space="preserve">legacy </w:t>
      </w:r>
      <w:r>
        <w:t>e</w:t>
      </w:r>
      <w:r w:rsidRPr="003A02AE">
        <w:t>DRX cycles</w:t>
      </w:r>
      <w:r>
        <w:t xml:space="preserve"> for FR1</w:t>
      </w:r>
      <w:r w:rsidRPr="003A02AE">
        <w:t>.</w:t>
      </w:r>
    </w:p>
    <w:p w:rsidR="00556779" w:rsidRPr="00AF0AC3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Reference</w:t>
      </w:r>
      <w:r w:rsidR="00545893">
        <w:rPr>
          <w:rFonts w:ascii="Arial" w:hAnsi="Arial" w:cs="Times New Roman"/>
          <w:sz w:val="36"/>
          <w:szCs w:val="20"/>
          <w:lang w:val="en-GB"/>
        </w:rPr>
        <w:t xml:space="preserve"> </w:t>
      </w:r>
    </w:p>
    <w:p w:rsidR="00556779" w:rsidRDefault="00B777E4" w:rsidP="00545893">
      <w:pP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CF06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[1] </w:t>
      </w:r>
      <w:r w:rsidR="0073431C" w:rsidRPr="0073431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R4-2115364</w:t>
      </w:r>
      <w:r w:rsidR="0054589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73431C" w:rsidRPr="0073431C">
        <w:rPr>
          <w:rFonts w:ascii="Times New Roman" w:hAnsi="Times New Roman" w:cs="Times New Roman"/>
          <w:sz w:val="20"/>
          <w:szCs w:val="20"/>
        </w:rPr>
        <w:t>WF on R17 Redcap eDRX enhancements and RRM measurement relaxations</w:t>
      </w:r>
      <w:r w:rsidR="00545893">
        <w:rPr>
          <w:rFonts w:ascii="Times New Roman" w:hAnsi="Times New Roman" w:cs="Times New Roman" w:hint="eastAsia"/>
          <w:sz w:val="20"/>
          <w:szCs w:val="20"/>
        </w:rPr>
        <w:t>,</w:t>
      </w:r>
      <w:r w:rsidR="00545893">
        <w:rPr>
          <w:rFonts w:ascii="Times New Roman" w:hAnsi="Times New Roman" w:cs="Times New Roman"/>
          <w:sz w:val="20"/>
          <w:szCs w:val="20"/>
        </w:rPr>
        <w:t xml:space="preserve"> </w:t>
      </w:r>
      <w:r w:rsidR="0073431C">
        <w:rPr>
          <w:rFonts w:ascii="Times New Roman" w:hAnsi="Times New Roman" w:cs="Times New Roman" w:hint="eastAsia"/>
          <w:sz w:val="20"/>
          <w:szCs w:val="20"/>
        </w:rPr>
        <w:t>Vivo</w:t>
      </w:r>
    </w:p>
    <w:p w:rsidR="00E55547" w:rsidRDefault="00E55547" w:rsidP="00E55547">
      <w:pP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CF06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</w:t>
      </w:r>
      <w:r w:rsidRPr="00CF060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] </w:t>
      </w:r>
      <w:r w:rsidRPr="00E5554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R2-2109196 LS to RAN4 on eDRX</w:t>
      </w:r>
      <w:r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RAN2</w:t>
      </w:r>
    </w:p>
    <w:p w:rsidR="00550CCB" w:rsidRDefault="00550CCB" w:rsidP="00550CCB">
      <w:pP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[3] 3GPP TS 36.133 V15.1</w:t>
      </w:r>
      <w:r w:rsidR="00C73012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>.0</w:t>
      </w:r>
    </w:p>
    <w:p w:rsidR="00143458" w:rsidRPr="00550CCB" w:rsidRDefault="00143458" w:rsidP="00545893">
      <w:pP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</w:p>
    <w:sectPr w:rsidR="00143458" w:rsidRPr="00550CCB" w:rsidSect="00F76835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03A" w:rsidRDefault="000F403A" w:rsidP="00A455C0">
      <w:r>
        <w:separator/>
      </w:r>
    </w:p>
  </w:endnote>
  <w:endnote w:type="continuationSeparator" w:id="0">
    <w:p w:rsidR="000F403A" w:rsidRDefault="000F403A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03A" w:rsidRDefault="000F403A" w:rsidP="00A455C0">
      <w:r>
        <w:separator/>
      </w:r>
    </w:p>
  </w:footnote>
  <w:footnote w:type="continuationSeparator" w:id="0">
    <w:p w:rsidR="000F403A" w:rsidRDefault="000F403A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751"/>
    <w:multiLevelType w:val="hybridMultilevel"/>
    <w:tmpl w:val="D85CBB22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91F166D"/>
    <w:multiLevelType w:val="hybridMultilevel"/>
    <w:tmpl w:val="06006CAC"/>
    <w:lvl w:ilvl="0" w:tplc="F70A05C8">
      <w:numFmt w:val="bullet"/>
      <w:lvlText w:val="•"/>
      <w:lvlJc w:val="left"/>
      <w:pPr>
        <w:ind w:left="918" w:hanging="42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13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8" w:hanging="420"/>
      </w:pPr>
      <w:rPr>
        <w:rFonts w:ascii="Wingdings" w:hAnsi="Wingdings" w:hint="default"/>
      </w:rPr>
    </w:lvl>
  </w:abstractNum>
  <w:abstractNum w:abstractNumId="2" w15:restartNumberingAfterBreak="0">
    <w:nsid w:val="0B642FDD"/>
    <w:multiLevelType w:val="hybridMultilevel"/>
    <w:tmpl w:val="FED24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B35A6F"/>
    <w:multiLevelType w:val="hybridMultilevel"/>
    <w:tmpl w:val="295E7980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477143"/>
    <w:multiLevelType w:val="hybridMultilevel"/>
    <w:tmpl w:val="C7E06344"/>
    <w:lvl w:ilvl="0" w:tplc="04090001">
      <w:start w:val="1"/>
      <w:numFmt w:val="bullet"/>
      <w:lvlText w:val="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5" w15:restartNumberingAfterBreak="0">
    <w:nsid w:val="15687061"/>
    <w:multiLevelType w:val="hybridMultilevel"/>
    <w:tmpl w:val="28940E6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8E6606"/>
    <w:multiLevelType w:val="hybridMultilevel"/>
    <w:tmpl w:val="A28A01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215295"/>
    <w:multiLevelType w:val="hybridMultilevel"/>
    <w:tmpl w:val="E306E406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85EBE"/>
    <w:multiLevelType w:val="hybridMultilevel"/>
    <w:tmpl w:val="B1049E1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87744A"/>
    <w:multiLevelType w:val="hybridMultilevel"/>
    <w:tmpl w:val="FDC2B95C"/>
    <w:lvl w:ilvl="0" w:tplc="F8848860">
      <w:start w:val="129"/>
      <w:numFmt w:val="bullet"/>
      <w:lvlText w:val="-"/>
      <w:lvlJc w:val="left"/>
      <w:pPr>
        <w:ind w:left="922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11" w15:restartNumberingAfterBreak="0">
    <w:nsid w:val="1DF97F6D"/>
    <w:multiLevelType w:val="hybridMultilevel"/>
    <w:tmpl w:val="6A7ED5D8"/>
    <w:lvl w:ilvl="0" w:tplc="9ED61D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3EE64E5E">
      <w:numFmt w:val="bullet"/>
      <w:lvlText w:val="•"/>
      <w:lvlJc w:val="left"/>
      <w:pPr>
        <w:ind w:left="2399" w:hanging="42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37B4F2D"/>
    <w:multiLevelType w:val="hybridMultilevel"/>
    <w:tmpl w:val="92DEE3A6"/>
    <w:lvl w:ilvl="0" w:tplc="04090001">
      <w:start w:val="1"/>
      <w:numFmt w:val="bullet"/>
      <w:lvlText w:val=""/>
      <w:lvlJc w:val="left"/>
      <w:pPr>
        <w:ind w:left="91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8" w:hanging="420"/>
      </w:pPr>
      <w:rPr>
        <w:rFonts w:ascii="Wingdings" w:hAnsi="Wingdings" w:hint="default"/>
      </w:rPr>
    </w:lvl>
  </w:abstractNum>
  <w:abstractNum w:abstractNumId="13" w15:restartNumberingAfterBreak="0">
    <w:nsid w:val="26B351B3"/>
    <w:multiLevelType w:val="hybridMultilevel"/>
    <w:tmpl w:val="16C83A9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F510171"/>
    <w:multiLevelType w:val="hybridMultilevel"/>
    <w:tmpl w:val="FB547DD6"/>
    <w:lvl w:ilvl="0" w:tplc="083E93B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5B068C"/>
    <w:multiLevelType w:val="hybridMultilevel"/>
    <w:tmpl w:val="16422DF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C024C9A"/>
    <w:multiLevelType w:val="hybridMultilevel"/>
    <w:tmpl w:val="EEA615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3A233E9"/>
    <w:multiLevelType w:val="hybridMultilevel"/>
    <w:tmpl w:val="3BE64C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6332F"/>
    <w:multiLevelType w:val="hybridMultilevel"/>
    <w:tmpl w:val="D7009508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D9F5B55"/>
    <w:multiLevelType w:val="hybridMultilevel"/>
    <w:tmpl w:val="0B00456A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E135541"/>
    <w:multiLevelType w:val="hybridMultilevel"/>
    <w:tmpl w:val="67CA276A"/>
    <w:lvl w:ilvl="0" w:tplc="32763680">
      <w:start w:val="1"/>
      <w:numFmt w:val="bullet"/>
      <w:lvlText w:val="-"/>
      <w:lvlJc w:val="left"/>
      <w:pPr>
        <w:ind w:left="780" w:hanging="42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2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5F4119B6"/>
    <w:multiLevelType w:val="hybridMultilevel"/>
    <w:tmpl w:val="1A2AFCBC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AD3A29"/>
    <w:multiLevelType w:val="hybridMultilevel"/>
    <w:tmpl w:val="EB6ADDC4"/>
    <w:lvl w:ilvl="0" w:tplc="4DBEE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ECB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F09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860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4BF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A0AF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768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32E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70D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BD509CA"/>
    <w:multiLevelType w:val="hybridMultilevel"/>
    <w:tmpl w:val="808614F6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810C41"/>
    <w:multiLevelType w:val="hybridMultilevel"/>
    <w:tmpl w:val="BB0C3E98"/>
    <w:lvl w:ilvl="0" w:tplc="CD7A3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63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C1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2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2E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0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F10032B"/>
    <w:multiLevelType w:val="hybridMultilevel"/>
    <w:tmpl w:val="4F025D1E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777F82"/>
    <w:multiLevelType w:val="hybridMultilevel"/>
    <w:tmpl w:val="EA2EAEA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4544E6"/>
    <w:multiLevelType w:val="hybridMultilevel"/>
    <w:tmpl w:val="AA68F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312DD"/>
    <w:multiLevelType w:val="hybridMultilevel"/>
    <w:tmpl w:val="BDEA7122"/>
    <w:lvl w:ilvl="0" w:tplc="70388772">
      <w:start w:val="1"/>
      <w:numFmt w:val="bullet"/>
      <w:lvlText w:val="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37" w15:restartNumberingAfterBreak="0">
    <w:nsid w:val="76A44540"/>
    <w:multiLevelType w:val="hybridMultilevel"/>
    <w:tmpl w:val="E0582934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32"/>
  </w:num>
  <w:num w:numId="4">
    <w:abstractNumId w:val="25"/>
  </w:num>
  <w:num w:numId="5">
    <w:abstractNumId w:val="9"/>
  </w:num>
  <w:num w:numId="6">
    <w:abstractNumId w:val="33"/>
  </w:num>
  <w:num w:numId="7">
    <w:abstractNumId w:val="20"/>
  </w:num>
  <w:num w:numId="8">
    <w:abstractNumId w:val="11"/>
  </w:num>
  <w:num w:numId="9">
    <w:abstractNumId w:val="19"/>
  </w:num>
  <w:num w:numId="10">
    <w:abstractNumId w:val="14"/>
  </w:num>
  <w:num w:numId="11">
    <w:abstractNumId w:val="31"/>
  </w:num>
  <w:num w:numId="12">
    <w:abstractNumId w:val="34"/>
  </w:num>
  <w:num w:numId="13">
    <w:abstractNumId w:val="2"/>
  </w:num>
  <w:num w:numId="14">
    <w:abstractNumId w:val="4"/>
  </w:num>
  <w:num w:numId="15">
    <w:abstractNumId w:val="36"/>
  </w:num>
  <w:num w:numId="16">
    <w:abstractNumId w:val="16"/>
  </w:num>
  <w:num w:numId="17">
    <w:abstractNumId w:val="0"/>
  </w:num>
  <w:num w:numId="18">
    <w:abstractNumId w:val="10"/>
  </w:num>
  <w:num w:numId="19">
    <w:abstractNumId w:val="13"/>
  </w:num>
  <w:num w:numId="20">
    <w:abstractNumId w:val="28"/>
  </w:num>
  <w:num w:numId="21">
    <w:abstractNumId w:val="3"/>
  </w:num>
  <w:num w:numId="22">
    <w:abstractNumId w:val="5"/>
  </w:num>
  <w:num w:numId="23">
    <w:abstractNumId w:val="21"/>
  </w:num>
  <w:num w:numId="24">
    <w:abstractNumId w:val="8"/>
  </w:num>
  <w:num w:numId="25">
    <w:abstractNumId w:val="23"/>
  </w:num>
  <w:num w:numId="26">
    <w:abstractNumId w:val="30"/>
  </w:num>
  <w:num w:numId="27">
    <w:abstractNumId w:val="24"/>
  </w:num>
  <w:num w:numId="28">
    <w:abstractNumId w:val="37"/>
  </w:num>
  <w:num w:numId="29">
    <w:abstractNumId w:val="29"/>
  </w:num>
  <w:num w:numId="30">
    <w:abstractNumId w:val="22"/>
  </w:num>
  <w:num w:numId="31">
    <w:abstractNumId w:val="35"/>
  </w:num>
  <w:num w:numId="32">
    <w:abstractNumId w:val="1"/>
  </w:num>
  <w:num w:numId="33">
    <w:abstractNumId w:val="12"/>
  </w:num>
  <w:num w:numId="34">
    <w:abstractNumId w:val="15"/>
  </w:num>
  <w:num w:numId="35">
    <w:abstractNumId w:val="15"/>
  </w:num>
  <w:num w:numId="36">
    <w:abstractNumId w:val="27"/>
  </w:num>
  <w:num w:numId="37">
    <w:abstractNumId w:val="6"/>
  </w:num>
  <w:num w:numId="38">
    <w:abstractNumId w:val="17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EE"/>
    <w:rsid w:val="00007D45"/>
    <w:rsid w:val="00012D40"/>
    <w:rsid w:val="00022578"/>
    <w:rsid w:val="00022A2A"/>
    <w:rsid w:val="00022F16"/>
    <w:rsid w:val="000266B5"/>
    <w:rsid w:val="000317B8"/>
    <w:rsid w:val="00031D3B"/>
    <w:rsid w:val="000403BC"/>
    <w:rsid w:val="00050616"/>
    <w:rsid w:val="0005367F"/>
    <w:rsid w:val="00054826"/>
    <w:rsid w:val="00057B98"/>
    <w:rsid w:val="00061965"/>
    <w:rsid w:val="000636AF"/>
    <w:rsid w:val="000655C5"/>
    <w:rsid w:val="00074445"/>
    <w:rsid w:val="00076DD2"/>
    <w:rsid w:val="00085A9B"/>
    <w:rsid w:val="000A2828"/>
    <w:rsid w:val="000A35ED"/>
    <w:rsid w:val="000C09E2"/>
    <w:rsid w:val="000C3C81"/>
    <w:rsid w:val="000C518C"/>
    <w:rsid w:val="000D6EA2"/>
    <w:rsid w:val="000E1339"/>
    <w:rsid w:val="000E20BB"/>
    <w:rsid w:val="000E3CEA"/>
    <w:rsid w:val="000E4116"/>
    <w:rsid w:val="000F403A"/>
    <w:rsid w:val="0010101B"/>
    <w:rsid w:val="001014E7"/>
    <w:rsid w:val="00104C4F"/>
    <w:rsid w:val="0011047B"/>
    <w:rsid w:val="0011398B"/>
    <w:rsid w:val="001208E4"/>
    <w:rsid w:val="0013031F"/>
    <w:rsid w:val="001335B0"/>
    <w:rsid w:val="001403E1"/>
    <w:rsid w:val="001412B0"/>
    <w:rsid w:val="00143458"/>
    <w:rsid w:val="0014749E"/>
    <w:rsid w:val="001510E0"/>
    <w:rsid w:val="0016148F"/>
    <w:rsid w:val="00161A0A"/>
    <w:rsid w:val="001650CB"/>
    <w:rsid w:val="00170628"/>
    <w:rsid w:val="00171F70"/>
    <w:rsid w:val="00173AA6"/>
    <w:rsid w:val="00175127"/>
    <w:rsid w:val="00175710"/>
    <w:rsid w:val="0017789C"/>
    <w:rsid w:val="00180458"/>
    <w:rsid w:val="0018277F"/>
    <w:rsid w:val="00184927"/>
    <w:rsid w:val="00187198"/>
    <w:rsid w:val="001919B0"/>
    <w:rsid w:val="00193AF4"/>
    <w:rsid w:val="00197484"/>
    <w:rsid w:val="001A0C0A"/>
    <w:rsid w:val="001A32D7"/>
    <w:rsid w:val="001B03CF"/>
    <w:rsid w:val="001C08FB"/>
    <w:rsid w:val="001C1037"/>
    <w:rsid w:val="001C3C1C"/>
    <w:rsid w:val="001D03C1"/>
    <w:rsid w:val="001D14AB"/>
    <w:rsid w:val="001E7E56"/>
    <w:rsid w:val="001F1AA5"/>
    <w:rsid w:val="001F3D83"/>
    <w:rsid w:val="001F609B"/>
    <w:rsid w:val="001F67F7"/>
    <w:rsid w:val="00214C4D"/>
    <w:rsid w:val="00220D75"/>
    <w:rsid w:val="00221E38"/>
    <w:rsid w:val="00223744"/>
    <w:rsid w:val="00231776"/>
    <w:rsid w:val="00233855"/>
    <w:rsid w:val="0024144D"/>
    <w:rsid w:val="00242604"/>
    <w:rsid w:val="002468DC"/>
    <w:rsid w:val="00246A64"/>
    <w:rsid w:val="00254520"/>
    <w:rsid w:val="00263213"/>
    <w:rsid w:val="00270333"/>
    <w:rsid w:val="002740D8"/>
    <w:rsid w:val="00284345"/>
    <w:rsid w:val="00286C84"/>
    <w:rsid w:val="00286C9D"/>
    <w:rsid w:val="0029101B"/>
    <w:rsid w:val="002936E4"/>
    <w:rsid w:val="002942D1"/>
    <w:rsid w:val="002A385F"/>
    <w:rsid w:val="002B4C06"/>
    <w:rsid w:val="002B5534"/>
    <w:rsid w:val="002B560A"/>
    <w:rsid w:val="002B561E"/>
    <w:rsid w:val="002C01B7"/>
    <w:rsid w:val="002C0C1D"/>
    <w:rsid w:val="002C1D73"/>
    <w:rsid w:val="002D1B95"/>
    <w:rsid w:val="002E2759"/>
    <w:rsid w:val="002F0D95"/>
    <w:rsid w:val="002F1E30"/>
    <w:rsid w:val="003005C2"/>
    <w:rsid w:val="00302876"/>
    <w:rsid w:val="00322D07"/>
    <w:rsid w:val="0032303D"/>
    <w:rsid w:val="00324716"/>
    <w:rsid w:val="00325CCA"/>
    <w:rsid w:val="00327588"/>
    <w:rsid w:val="003307BF"/>
    <w:rsid w:val="00335A14"/>
    <w:rsid w:val="003423DF"/>
    <w:rsid w:val="00366686"/>
    <w:rsid w:val="003733D6"/>
    <w:rsid w:val="003757EE"/>
    <w:rsid w:val="00377F26"/>
    <w:rsid w:val="00382B76"/>
    <w:rsid w:val="003862C9"/>
    <w:rsid w:val="00390153"/>
    <w:rsid w:val="003A02AE"/>
    <w:rsid w:val="003A42CF"/>
    <w:rsid w:val="003A4A67"/>
    <w:rsid w:val="003B124B"/>
    <w:rsid w:val="003B77F4"/>
    <w:rsid w:val="003C331A"/>
    <w:rsid w:val="003D26E4"/>
    <w:rsid w:val="003D44C7"/>
    <w:rsid w:val="003D577A"/>
    <w:rsid w:val="003F0C56"/>
    <w:rsid w:val="003F1036"/>
    <w:rsid w:val="003F51CC"/>
    <w:rsid w:val="004075F8"/>
    <w:rsid w:val="00414EC3"/>
    <w:rsid w:val="0041719A"/>
    <w:rsid w:val="00423F0A"/>
    <w:rsid w:val="0043207C"/>
    <w:rsid w:val="00432F4A"/>
    <w:rsid w:val="00436BBA"/>
    <w:rsid w:val="004431B4"/>
    <w:rsid w:val="004441AF"/>
    <w:rsid w:val="00460ABF"/>
    <w:rsid w:val="004637CB"/>
    <w:rsid w:val="0048077D"/>
    <w:rsid w:val="00480900"/>
    <w:rsid w:val="00492411"/>
    <w:rsid w:val="00492AF5"/>
    <w:rsid w:val="00494233"/>
    <w:rsid w:val="00495F2A"/>
    <w:rsid w:val="004A0F36"/>
    <w:rsid w:val="004A1E93"/>
    <w:rsid w:val="004B0090"/>
    <w:rsid w:val="004B18F6"/>
    <w:rsid w:val="004B5D43"/>
    <w:rsid w:val="004C2BF3"/>
    <w:rsid w:val="004C31BB"/>
    <w:rsid w:val="004D3DBC"/>
    <w:rsid w:val="0050117F"/>
    <w:rsid w:val="00504C00"/>
    <w:rsid w:val="00504E11"/>
    <w:rsid w:val="005066C6"/>
    <w:rsid w:val="00511632"/>
    <w:rsid w:val="0051271D"/>
    <w:rsid w:val="005142C8"/>
    <w:rsid w:val="00517880"/>
    <w:rsid w:val="005263FB"/>
    <w:rsid w:val="005307B1"/>
    <w:rsid w:val="005317A7"/>
    <w:rsid w:val="0053209B"/>
    <w:rsid w:val="00545893"/>
    <w:rsid w:val="00550CCB"/>
    <w:rsid w:val="00551C93"/>
    <w:rsid w:val="00554891"/>
    <w:rsid w:val="00556779"/>
    <w:rsid w:val="0056058C"/>
    <w:rsid w:val="00565288"/>
    <w:rsid w:val="00574E20"/>
    <w:rsid w:val="0058105E"/>
    <w:rsid w:val="00582354"/>
    <w:rsid w:val="005829C1"/>
    <w:rsid w:val="00583688"/>
    <w:rsid w:val="00586445"/>
    <w:rsid w:val="005923B9"/>
    <w:rsid w:val="005929E5"/>
    <w:rsid w:val="005973CA"/>
    <w:rsid w:val="005A27EC"/>
    <w:rsid w:val="005A704B"/>
    <w:rsid w:val="005A71C6"/>
    <w:rsid w:val="005B34BB"/>
    <w:rsid w:val="005C3BF8"/>
    <w:rsid w:val="005C4942"/>
    <w:rsid w:val="005C5151"/>
    <w:rsid w:val="005D0FA3"/>
    <w:rsid w:val="005D3425"/>
    <w:rsid w:val="005D4266"/>
    <w:rsid w:val="005F2264"/>
    <w:rsid w:val="005F5D83"/>
    <w:rsid w:val="00600142"/>
    <w:rsid w:val="00601C32"/>
    <w:rsid w:val="00602D77"/>
    <w:rsid w:val="00607FF0"/>
    <w:rsid w:val="006125B7"/>
    <w:rsid w:val="00612F95"/>
    <w:rsid w:val="006150D8"/>
    <w:rsid w:val="00624EA3"/>
    <w:rsid w:val="00627AC9"/>
    <w:rsid w:val="00631035"/>
    <w:rsid w:val="006364C4"/>
    <w:rsid w:val="00637EE5"/>
    <w:rsid w:val="006401A3"/>
    <w:rsid w:val="00657834"/>
    <w:rsid w:val="00664684"/>
    <w:rsid w:val="006648A9"/>
    <w:rsid w:val="00664D4D"/>
    <w:rsid w:val="0067112D"/>
    <w:rsid w:val="00671A28"/>
    <w:rsid w:val="00676DB1"/>
    <w:rsid w:val="006772B8"/>
    <w:rsid w:val="00680F49"/>
    <w:rsid w:val="00683859"/>
    <w:rsid w:val="00691068"/>
    <w:rsid w:val="00691D05"/>
    <w:rsid w:val="00692026"/>
    <w:rsid w:val="006952A0"/>
    <w:rsid w:val="006B09DE"/>
    <w:rsid w:val="006B17C7"/>
    <w:rsid w:val="006B5E2B"/>
    <w:rsid w:val="006C1D52"/>
    <w:rsid w:val="006C633C"/>
    <w:rsid w:val="006C7C9F"/>
    <w:rsid w:val="006C7F8A"/>
    <w:rsid w:val="006D327D"/>
    <w:rsid w:val="006D6281"/>
    <w:rsid w:val="006E2791"/>
    <w:rsid w:val="006E4124"/>
    <w:rsid w:val="006F548A"/>
    <w:rsid w:val="006F71D7"/>
    <w:rsid w:val="006F7D96"/>
    <w:rsid w:val="0070111D"/>
    <w:rsid w:val="00712C4E"/>
    <w:rsid w:val="00713A7D"/>
    <w:rsid w:val="00724DB8"/>
    <w:rsid w:val="007257BE"/>
    <w:rsid w:val="00726BD5"/>
    <w:rsid w:val="00727120"/>
    <w:rsid w:val="00732BCC"/>
    <w:rsid w:val="0073431C"/>
    <w:rsid w:val="0073513B"/>
    <w:rsid w:val="007461D6"/>
    <w:rsid w:val="00755469"/>
    <w:rsid w:val="007565AB"/>
    <w:rsid w:val="007572D7"/>
    <w:rsid w:val="007715B1"/>
    <w:rsid w:val="00777B18"/>
    <w:rsid w:val="00780A55"/>
    <w:rsid w:val="00782924"/>
    <w:rsid w:val="00782CE2"/>
    <w:rsid w:val="007843EA"/>
    <w:rsid w:val="0079388A"/>
    <w:rsid w:val="00795F75"/>
    <w:rsid w:val="007B7E3E"/>
    <w:rsid w:val="007C1A16"/>
    <w:rsid w:val="007C1F40"/>
    <w:rsid w:val="007C7ACA"/>
    <w:rsid w:val="007E0996"/>
    <w:rsid w:val="007F15E7"/>
    <w:rsid w:val="007F20B5"/>
    <w:rsid w:val="007F31DF"/>
    <w:rsid w:val="007F72CB"/>
    <w:rsid w:val="007F7B51"/>
    <w:rsid w:val="00801821"/>
    <w:rsid w:val="008051D7"/>
    <w:rsid w:val="0080594B"/>
    <w:rsid w:val="0081259C"/>
    <w:rsid w:val="008211A0"/>
    <w:rsid w:val="00835E8D"/>
    <w:rsid w:val="00841228"/>
    <w:rsid w:val="008435DB"/>
    <w:rsid w:val="00845B83"/>
    <w:rsid w:val="00845ECC"/>
    <w:rsid w:val="00846A33"/>
    <w:rsid w:val="00855B0B"/>
    <w:rsid w:val="008624C6"/>
    <w:rsid w:val="00873E5E"/>
    <w:rsid w:val="00874364"/>
    <w:rsid w:val="00876934"/>
    <w:rsid w:val="00885C57"/>
    <w:rsid w:val="00885D4A"/>
    <w:rsid w:val="00887BA3"/>
    <w:rsid w:val="00891763"/>
    <w:rsid w:val="00895C88"/>
    <w:rsid w:val="008A6692"/>
    <w:rsid w:val="008B0187"/>
    <w:rsid w:val="008B5F98"/>
    <w:rsid w:val="008C0839"/>
    <w:rsid w:val="008D3E1F"/>
    <w:rsid w:val="008D691F"/>
    <w:rsid w:val="008F6F8A"/>
    <w:rsid w:val="008F71CD"/>
    <w:rsid w:val="00902BC8"/>
    <w:rsid w:val="00911495"/>
    <w:rsid w:val="00913870"/>
    <w:rsid w:val="009142B6"/>
    <w:rsid w:val="0092027F"/>
    <w:rsid w:val="00920CF2"/>
    <w:rsid w:val="009278AF"/>
    <w:rsid w:val="00931051"/>
    <w:rsid w:val="009312AF"/>
    <w:rsid w:val="00937467"/>
    <w:rsid w:val="00944B43"/>
    <w:rsid w:val="00950C3D"/>
    <w:rsid w:val="00954A76"/>
    <w:rsid w:val="0096051C"/>
    <w:rsid w:val="009653EE"/>
    <w:rsid w:val="009718CD"/>
    <w:rsid w:val="00974404"/>
    <w:rsid w:val="0097449D"/>
    <w:rsid w:val="00990BA8"/>
    <w:rsid w:val="009A2EAA"/>
    <w:rsid w:val="009A4E15"/>
    <w:rsid w:val="009A54A4"/>
    <w:rsid w:val="009B49FB"/>
    <w:rsid w:val="009B53BC"/>
    <w:rsid w:val="009C1CAF"/>
    <w:rsid w:val="009D1907"/>
    <w:rsid w:val="009D22E1"/>
    <w:rsid w:val="009D2B50"/>
    <w:rsid w:val="009E168D"/>
    <w:rsid w:val="009E62D1"/>
    <w:rsid w:val="009F1C95"/>
    <w:rsid w:val="00A027F8"/>
    <w:rsid w:val="00A0430E"/>
    <w:rsid w:val="00A14729"/>
    <w:rsid w:val="00A154A9"/>
    <w:rsid w:val="00A1653E"/>
    <w:rsid w:val="00A16D82"/>
    <w:rsid w:val="00A24984"/>
    <w:rsid w:val="00A35ADE"/>
    <w:rsid w:val="00A372D0"/>
    <w:rsid w:val="00A37DC0"/>
    <w:rsid w:val="00A4439C"/>
    <w:rsid w:val="00A4462D"/>
    <w:rsid w:val="00A455C0"/>
    <w:rsid w:val="00A5121A"/>
    <w:rsid w:val="00A55CF1"/>
    <w:rsid w:val="00A61BF9"/>
    <w:rsid w:val="00A625DC"/>
    <w:rsid w:val="00A67D6C"/>
    <w:rsid w:val="00A80CF0"/>
    <w:rsid w:val="00A92737"/>
    <w:rsid w:val="00A93037"/>
    <w:rsid w:val="00A97111"/>
    <w:rsid w:val="00AA0E12"/>
    <w:rsid w:val="00AA4326"/>
    <w:rsid w:val="00AA711C"/>
    <w:rsid w:val="00AB01E1"/>
    <w:rsid w:val="00AB5FB1"/>
    <w:rsid w:val="00AB7AC6"/>
    <w:rsid w:val="00AC2C2B"/>
    <w:rsid w:val="00AC5A0C"/>
    <w:rsid w:val="00AC728B"/>
    <w:rsid w:val="00AD01E0"/>
    <w:rsid w:val="00AE46E1"/>
    <w:rsid w:val="00AE577D"/>
    <w:rsid w:val="00AF2340"/>
    <w:rsid w:val="00AF4DC6"/>
    <w:rsid w:val="00B029E8"/>
    <w:rsid w:val="00B04A33"/>
    <w:rsid w:val="00B06B76"/>
    <w:rsid w:val="00B135E2"/>
    <w:rsid w:val="00B24ACE"/>
    <w:rsid w:val="00B279F8"/>
    <w:rsid w:val="00B33BFA"/>
    <w:rsid w:val="00B37E98"/>
    <w:rsid w:val="00B51AF6"/>
    <w:rsid w:val="00B63CBC"/>
    <w:rsid w:val="00B64640"/>
    <w:rsid w:val="00B64B9E"/>
    <w:rsid w:val="00B706D7"/>
    <w:rsid w:val="00B777E4"/>
    <w:rsid w:val="00B7796E"/>
    <w:rsid w:val="00B77D50"/>
    <w:rsid w:val="00B77E70"/>
    <w:rsid w:val="00B8277D"/>
    <w:rsid w:val="00B82A81"/>
    <w:rsid w:val="00B82D58"/>
    <w:rsid w:val="00B83E8D"/>
    <w:rsid w:val="00B83FA8"/>
    <w:rsid w:val="00B903AD"/>
    <w:rsid w:val="00B90795"/>
    <w:rsid w:val="00B9284C"/>
    <w:rsid w:val="00B93F1F"/>
    <w:rsid w:val="00BB25FC"/>
    <w:rsid w:val="00BC132E"/>
    <w:rsid w:val="00BD2FB9"/>
    <w:rsid w:val="00BD377F"/>
    <w:rsid w:val="00BD3C6C"/>
    <w:rsid w:val="00BD4A57"/>
    <w:rsid w:val="00BE21F4"/>
    <w:rsid w:val="00BE6AAA"/>
    <w:rsid w:val="00BF0527"/>
    <w:rsid w:val="00BF1454"/>
    <w:rsid w:val="00BF21FF"/>
    <w:rsid w:val="00BF6F30"/>
    <w:rsid w:val="00C00566"/>
    <w:rsid w:val="00C103CB"/>
    <w:rsid w:val="00C21923"/>
    <w:rsid w:val="00C27C81"/>
    <w:rsid w:val="00C3167E"/>
    <w:rsid w:val="00C339DD"/>
    <w:rsid w:val="00C37C9E"/>
    <w:rsid w:val="00C45D8A"/>
    <w:rsid w:val="00C505D5"/>
    <w:rsid w:val="00C54587"/>
    <w:rsid w:val="00C57590"/>
    <w:rsid w:val="00C65069"/>
    <w:rsid w:val="00C65A04"/>
    <w:rsid w:val="00C70257"/>
    <w:rsid w:val="00C73012"/>
    <w:rsid w:val="00C7369C"/>
    <w:rsid w:val="00C76C7E"/>
    <w:rsid w:val="00C80B49"/>
    <w:rsid w:val="00C83E3F"/>
    <w:rsid w:val="00CA04B1"/>
    <w:rsid w:val="00CB58D0"/>
    <w:rsid w:val="00CC601B"/>
    <w:rsid w:val="00CC7BB4"/>
    <w:rsid w:val="00CD53A5"/>
    <w:rsid w:val="00CD596F"/>
    <w:rsid w:val="00CD5992"/>
    <w:rsid w:val="00CD6657"/>
    <w:rsid w:val="00CD7DAC"/>
    <w:rsid w:val="00CF0607"/>
    <w:rsid w:val="00CF5968"/>
    <w:rsid w:val="00D02512"/>
    <w:rsid w:val="00D03F32"/>
    <w:rsid w:val="00D11B6D"/>
    <w:rsid w:val="00D12439"/>
    <w:rsid w:val="00D14813"/>
    <w:rsid w:val="00D203B5"/>
    <w:rsid w:val="00D257EA"/>
    <w:rsid w:val="00D30E1E"/>
    <w:rsid w:val="00D318DB"/>
    <w:rsid w:val="00D32556"/>
    <w:rsid w:val="00D36557"/>
    <w:rsid w:val="00D36E58"/>
    <w:rsid w:val="00D44B2B"/>
    <w:rsid w:val="00D461C4"/>
    <w:rsid w:val="00D5183C"/>
    <w:rsid w:val="00D91B82"/>
    <w:rsid w:val="00D92441"/>
    <w:rsid w:val="00D9604D"/>
    <w:rsid w:val="00D971AB"/>
    <w:rsid w:val="00DA03E5"/>
    <w:rsid w:val="00DA5CFC"/>
    <w:rsid w:val="00DA6A5E"/>
    <w:rsid w:val="00DB0619"/>
    <w:rsid w:val="00DB2B25"/>
    <w:rsid w:val="00DB33F4"/>
    <w:rsid w:val="00DC24CD"/>
    <w:rsid w:val="00DC75B9"/>
    <w:rsid w:val="00DD00D3"/>
    <w:rsid w:val="00DD36A2"/>
    <w:rsid w:val="00DE02AF"/>
    <w:rsid w:val="00DE097D"/>
    <w:rsid w:val="00DE0A84"/>
    <w:rsid w:val="00DE6F54"/>
    <w:rsid w:val="00DE7D07"/>
    <w:rsid w:val="00DF1D32"/>
    <w:rsid w:val="00E02882"/>
    <w:rsid w:val="00E12EEE"/>
    <w:rsid w:val="00E1498A"/>
    <w:rsid w:val="00E17325"/>
    <w:rsid w:val="00E2044A"/>
    <w:rsid w:val="00E245A0"/>
    <w:rsid w:val="00E26769"/>
    <w:rsid w:val="00E40D50"/>
    <w:rsid w:val="00E41E5A"/>
    <w:rsid w:val="00E55490"/>
    <w:rsid w:val="00E55547"/>
    <w:rsid w:val="00E55758"/>
    <w:rsid w:val="00E55E66"/>
    <w:rsid w:val="00E6362C"/>
    <w:rsid w:val="00E733F0"/>
    <w:rsid w:val="00E74252"/>
    <w:rsid w:val="00E77A3A"/>
    <w:rsid w:val="00E80A20"/>
    <w:rsid w:val="00E90CEB"/>
    <w:rsid w:val="00EB1CF3"/>
    <w:rsid w:val="00EB2F2C"/>
    <w:rsid w:val="00EB7BC1"/>
    <w:rsid w:val="00EE01DE"/>
    <w:rsid w:val="00EE1B90"/>
    <w:rsid w:val="00EE28C4"/>
    <w:rsid w:val="00EE2A52"/>
    <w:rsid w:val="00EE389C"/>
    <w:rsid w:val="00EE4509"/>
    <w:rsid w:val="00EF11DA"/>
    <w:rsid w:val="00EF5C91"/>
    <w:rsid w:val="00EF6D60"/>
    <w:rsid w:val="00F0143D"/>
    <w:rsid w:val="00F0505F"/>
    <w:rsid w:val="00F10E6A"/>
    <w:rsid w:val="00F11E14"/>
    <w:rsid w:val="00F1512D"/>
    <w:rsid w:val="00F23285"/>
    <w:rsid w:val="00F2504A"/>
    <w:rsid w:val="00F369A8"/>
    <w:rsid w:val="00F4033C"/>
    <w:rsid w:val="00F419DE"/>
    <w:rsid w:val="00F448D8"/>
    <w:rsid w:val="00F45031"/>
    <w:rsid w:val="00F473DE"/>
    <w:rsid w:val="00F5015B"/>
    <w:rsid w:val="00F52E64"/>
    <w:rsid w:val="00F610D9"/>
    <w:rsid w:val="00F76835"/>
    <w:rsid w:val="00F83CBD"/>
    <w:rsid w:val="00F908FC"/>
    <w:rsid w:val="00F9559B"/>
    <w:rsid w:val="00F95901"/>
    <w:rsid w:val="00FA1F95"/>
    <w:rsid w:val="00FA59D3"/>
    <w:rsid w:val="00FA6175"/>
    <w:rsid w:val="00FB35E4"/>
    <w:rsid w:val="00FB4CC9"/>
    <w:rsid w:val="00FB76FC"/>
    <w:rsid w:val="00FC2285"/>
    <w:rsid w:val="00FC7C0C"/>
    <w:rsid w:val="00FD0600"/>
    <w:rsid w:val="00FD4827"/>
    <w:rsid w:val="00FD4B02"/>
    <w:rsid w:val="00FD5056"/>
    <w:rsid w:val="00FE2731"/>
    <w:rsid w:val="00FE6E56"/>
    <w:rsid w:val="00FF14ED"/>
    <w:rsid w:val="00FF1821"/>
    <w:rsid w:val="00FF3507"/>
    <w:rsid w:val="00FF3D89"/>
    <w:rsid w:val="00FF4F3A"/>
    <w:rsid w:val="00FF551A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5357D2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B5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059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F14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,?? ??,?????,????,列表段落11"/>
    <w:basedOn w:val="a"/>
    <w:link w:val="aa"/>
    <w:uiPriority w:val="34"/>
    <w:qFormat/>
    <w:rsid w:val="00556779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0594B"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rsid w:val="006C7C9F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C7C9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FF14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text"/>
    <w:basedOn w:val="a"/>
    <w:link w:val="af"/>
    <w:qFormat/>
    <w:rsid w:val="0043207C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qFormat/>
    <w:rsid w:val="0043207C"/>
    <w:rPr>
      <w:rFonts w:ascii="Times New Roman" w:eastAsia="宋体" w:hAnsi="Times New Roman" w:cs="Times New Roman"/>
      <w:szCs w:val="24"/>
    </w:rPr>
  </w:style>
  <w:style w:type="paragraph" w:styleId="af0">
    <w:name w:val="Body Text"/>
    <w:basedOn w:val="a"/>
    <w:link w:val="af1"/>
    <w:rsid w:val="0043207C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f1">
    <w:name w:val="正文文本 字符"/>
    <w:basedOn w:val="a0"/>
    <w:link w:val="af0"/>
    <w:rsid w:val="0043207C"/>
    <w:rPr>
      <w:rFonts w:ascii="Times New Roman" w:eastAsia="宋体" w:hAnsi="Times New Roman" w:cs="Times New Roman"/>
      <w:szCs w:val="24"/>
    </w:rPr>
  </w:style>
  <w:style w:type="character" w:customStyle="1" w:styleId="fontstyle01">
    <w:name w:val="fontstyle01"/>
    <w:basedOn w:val="a0"/>
    <w:rsid w:val="00DC75B9"/>
    <w:rPr>
      <w:rFonts w:ascii="NimbusRomNo9L-Regu" w:hAnsi="NimbusRomNo9L-Regu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af2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f3"/>
    <w:locked/>
    <w:rsid w:val="002C01B7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f3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af2"/>
    <w:unhideWhenUsed/>
    <w:qFormat/>
    <w:rsid w:val="002C01B7"/>
    <w:pPr>
      <w:widowControl/>
      <w:spacing w:before="120" w:after="120"/>
      <w:jc w:val="left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f4">
    <w:name w:val="Revision"/>
    <w:hidden/>
    <w:uiPriority w:val="99"/>
    <w:semiHidden/>
    <w:rsid w:val="00B135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2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4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2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8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6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8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951</Words>
  <Characters>5422</Characters>
  <Application>Microsoft Office Word</Application>
  <DocSecurity>0</DocSecurity>
  <Lines>45</Lines>
  <Paragraphs>12</Paragraphs>
  <ScaleCrop>false</ScaleCrop>
  <Company/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5</cp:revision>
  <dcterms:created xsi:type="dcterms:W3CDTF">2021-10-22T08:58:00Z</dcterms:created>
  <dcterms:modified xsi:type="dcterms:W3CDTF">2021-10-22T08:58:00Z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